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6B_1273/2015 vom 28. Dezember 2015</w:t>
      </w:r>
    </w:p>
    <w:p>
      <w:r>
        <w:t>Bundesgericht, 2015-12-28, DE</w:t>
      </w:r>
    </w:p>
    <w:p>
      <w:r>
        <w:rPr>
          <w:b/>
        </w:rPr>
        <w:t xml:space="preserve">Quelle: </w:t>
      </w:r>
      <w:r>
        <w:t>https://mcp.opencaselaw.ch/entscheid/bger_6B_1273_2015</w:t>
      </w:r>
    </w:p>
    <w:p>
      <w:r>
        <w:t>FR: TF 6B_1273/2015 du 28 décembre 2015</w:t>
      </w:r>
    </w:p>
    <w:p>
      <w:r>
        <w:t>IT: TF 6B_1273/2015 del 28 dicembre 2015</w:t>
      </w:r>
    </w:p>
    <w:p>
      <w:pPr>
        <w:pStyle w:val="Heading2"/>
      </w:pPr>
      <w:r>
        <w:t>Erwägungen</w:t>
      </w:r>
    </w:p>
    <w:p>
      <w:r>
        <w:rPr>
          <w:b/>
        </w:rPr>
        <w:t>E. 1</w:t>
      </w:r>
    </w:p>
    <w:p>
      <w:r>
        <w:t>Der Beschwerdeführer reichte am 9. April 2015 eine Strafanzeige gegen sämtliche Mobiltelefonnutzer des Kantons Basel-Landschaft wegen Patentverletzung ein. Am 17. Juni 2015 nahm die Staatsanwaltschaft das Verfahren nicht an die Hand. Eine dagegen gerichtete Beschwerde wies das Kantonsgericht Basel-Landschaft am 22. September 2015 ab.</w:t>
      </w:r>
    </w:p>
    <w:p>
      <w:r>
        <w:t>Der Beschwerdeführer wendet sich ans Bundesgericht, ohne einen Antrag in der Sache zu stellen. Offensichtlich geht es ihm darum, dass die Staatsanwaltschaft seine Anzeige an die Hand nehmen soll.</w:t>
      </w:r>
    </w:p>
    <w:p>
      <w:r>
        <w:rPr>
          <w:b/>
        </w:rPr>
        <w:t>E. 2</w:t>
      </w:r>
    </w:p>
    <w:p>
      <w:r>
        <w:t>Der Beschwerdeführer beantragt eine mündliche Verhandlung (Beschwerde S. 6). Eine solche ordnet der Präsident nur ausnahmsweise an ( Art. 57 BGG ). Dafür besteht vorliegend kein Anlass.</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 seiner Legitimation und insbesondere zur Frage der Zivilforderung nicht. Um welche es gehen könnte, ist aufgrund der Natur der angeklagten Straftat auch nicht ohne Weiteres ersichtlich. Auf die Beschwerde ist mangels hinreichend dargetaner Legitimation des Beschwerdeführers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Da der Beschwerdeführer seine angebliche Bedürftigkeit weder darlegt noch nachweist,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