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6B_126/2012 vom 11. Juni 2012</w:t>
      </w:r>
    </w:p>
    <w:p>
      <w:r>
        <w:t>Bundesgericht, 2012-06-11, FR</w:t>
      </w:r>
    </w:p>
    <w:p>
      <w:r>
        <w:rPr>
          <w:b/>
        </w:rPr>
        <w:t xml:space="preserve">Quelle: </w:t>
      </w:r>
      <w:r>
        <w:t>https://mcp.opencaselaw.ch/entscheid/bger_6B_126_2012</w:t>
      </w:r>
    </w:p>
    <w:p>
      <w:r>
        <w:t>FR: TF 6B_126/2012 du 11 juin 2012</w:t>
      </w:r>
    </w:p>
    <w:p>
      <w:r>
        <w:t>IT: TF 6B_126/2012 del 11 giugno 2012</w:t>
      </w:r>
    </w:p>
    <w:p>
      <w:pPr>
        <w:pStyle w:val="Heading2"/>
      </w:pPr>
      <w:r>
        <w:t>Erwägungen</w:t>
      </w:r>
    </w:p>
    <w:p>
      <w:r>
        <w:rPr>
          <w:b/>
        </w:rPr>
        <w:t>E. 1</w:t>
      </w:r>
    </w:p>
    <w:p>
      <w:r>
        <w:t>Le recourant n'a pas formellement conclu à la réforme du jugement attaqué ni à son annulation mais s'est borné à demander le renvoi à l'autorité précédente. Sur le plan pénal, on comprend toutefois de la motivation présentée que le recourant n'admet qu'une petite partie des vols et conteste pour le surplus les vols reprochés, dont il entend être libéré. Cette motivation s'interprète comme conclusion suffisante. Sur le plan civil, le recourant conteste la prise en compte de 657 fr. dans le montant du dommage alloué et est d'avis que l'autorité précédente n'était pas en mesure de statuer et aurait dû renvoyer l'intimée à agir devant le juge civil en application de l' art. 126 al. 3 CPP . Dans cette mesure, on peut admettre que le mémoire contient une conclusion recevable quant à l'aspect civil. En revanche, faute de conclusions chiffrées et d'indications précises dans le mémoire quant aux postes du dommage contestés, sous réserve des 657 fr. précités, le recourant ne formule aucune conclusion recevable susceptible de mettre en cause la quotité du dommage alloué (cf. ATF 134 III 235 consid. 2 p. 237).</w:t>
      </w:r>
    </w:p>
    <w:p>
      <w:r>
        <w:rPr>
          <w:b/>
        </w:rPr>
        <w:t>E. 2</w:t>
      </w:r>
    </w:p>
    <w:p>
      <w:r>
        <w:t>Le recourant s'en prend à l'établissement des faits. Il conteste être l'auteur des détournements de fonds reprochés.</w:t>
      </w:r>
    </w:p>
    <w:p>
      <w:r>
        <w:rPr>
          <w:b/>
        </w:rPr>
        <w:t>E. 2.1</w:t>
      </w:r>
    </w:p>
    <w:p>
      <w:r>
        <w:t>Le Tribunal fédéral statue sur la base des faits retenus par l'arrêt entrepris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 Conformément à l' art. 106 al. 2 LTF , le Tribunal fédéral n'entre en matière sur les moyens fondés sur la violation de droits fondamentaux que s'ils ont été invoqués et motivés de manière précise. L'acte de recours doit, à peine d'irrecevabilité, contenir un exposé succinct des droits violés et préciser en quoi consiste la violation ( ATF 136 II 489 consid. 2.8 p. 494). Les critiques de nature appellatoire sont irrecevables ( ATF 137 IV 1 consid. 4.2.3 p. 5).</w:t>
      </w:r>
    </w:p>
    <w:p>
      <w:r>
        <w:rPr>
          <w:b/>
        </w:rPr>
        <w:t>E. 2.2</w:t>
      </w:r>
    </w:p>
    <w:p>
      <w:r>
        <w:t>La cour d'appel s'est référée au raisonnement du tribunal correctionnel. Le tribunal a considéré que l'activité délictuelle du recourant était beaucoup plus importante que celle admise par celui-ci. Le tribunal a en particulier mis en avant les éléments suivants pour retenir la culpabilité du recourant. La plupart des vols commis depuis le 17 avril 2003 concernait des envois express de banques. Le recourant était présent à son poste de travail s'agissant des vols qui lui ont été imputés. Aucun cas de vol concernant les envois de la Banque Y.________ n'a été recensé lorsqu'il était absent. Aucun autre employé n'était présent de manière systématique lors de tous les cas imputés au recourant.</w:t>
      </w:r>
    </w:p>
    <w:p>
      <w:r>
        <w:rPr>
          <w:b/>
        </w:rPr>
        <w:t>E. 2.3</w:t>
      </w:r>
    </w:p>
    <w:p>
      <w:r>
        <w:t>Le recourant se contente d'opposer sa propre version des faits à l'approche suivie par la cour d'appel. Il met en avant que d'autres vols ont également eu lieu lorsqu'il était absent, que de nombreux employés pouvaient être concernés, que d'autres vols se sont passés après son départ. Ce faisant, le recourant formule une argumentation appellatoire, partant irrecevable. Il ne formule aucun grief susceptible de faire apparaître l'appréciation des preuves comme arbitraire.</w:t>
      </w:r>
    </w:p>
    <w:p>
      <w:r>
        <w:rPr>
          <w:b/>
        </w:rPr>
        <w:t>E. 3</w:t>
      </w:r>
    </w:p>
    <w:p>
      <w:r>
        <w:t>Le recourant relève que le tribunal correctionnel lui a imputé 173 vols (cf. jugement première instance p. 22), alors que la cour d'appel a retenu 134 vols, soit les vols commis de nuit lorsque le recourant était présent, excluant au bénéfice du doute ceux commis le jour (cf. jugement attaqué p. 16). Selon lui, cette diminution du nombre de vols aurait dû conduire à une réduction de la peine ou, à tout le moins, à ce que la question de la peine fasse l'objet d'une motivation spécifique par la cour d'appel. Il invoque une motivation insuffisante.</w:t>
      </w:r>
    </w:p>
    <w:p>
      <w:r>
        <w:t>Le recourant ne remet pas en cause la qualification de vol par métier ( art. 139 ch. 2 CP ) retenue. Lorsque la qualification de vol par métier s'applique, elle exclut un concours ( art. 49 CP ) entre les vols commis. Les différents actes forment une entité juridique (cf. MARCEL ALEXANDER NIGGLI / CHRISTOF RIEDO, BasK, 2ème éd., n. 107 ad art. 139 CP ). Il n'en reste pas moins que l'ampleur des actes est susceptible de jouer un rôle du point de vue de la culpabilité, donc de la fixation de la peine. En l'espèce, la cour d'appel a abandonné près d'un quart des vols par rapport à ceux reprochés par le tribunal correctionnel, n'en retenant ainsi que 134 au lieu de 173. Dans sa motivation quant à la fixation de la peine, elle s'est contentée, en quelques brèves phrases, de se référer à la motivation de première instance et de dire que la peine fixée ne relevait ni d'un abus ni d'un excès du pouvoir d'appréciation dont jouissait l'autorité de première instance (jugement attaqué, p. 17 in fine et 18). Cette approche méconnaît le libre pouvoir d'examen dont dispose la cour d'appel, aussi en matière de fixation de la peine (cf. art. 398 al. 2 CPP ; LUZIUS EUGSTER, BasK, n. 1 ad art. 398 CPP ; MARKUS HUG, Kommentar zur StPO, Donatsch/Hansjakob/Lieber éditeurs, n. 20 ad art. 398 CPP p. 1921). Surtout, ce faisant, la cour d'appel n'a pas expliqué quelle portée avait l'abandon d'une partie des vols du point de vue de la fixation de la peine. Il lui incombait de fournir une motivation explicite à cet égard. Le jugement attaqué viole les art. 47 et 50 CP . Le recours doit être admis sur ce point.</w:t>
      </w:r>
    </w:p>
    <w:p>
      <w:r>
        <w:rPr>
          <w:b/>
        </w:rPr>
        <w:t>E. 4</w:t>
      </w:r>
    </w:p>
    <w:p>
      <w:r>
        <w:t>Le recourant s'en prend ensuite aux prétentions civiles.</w:t>
      </w:r>
    </w:p>
    <w:p>
      <w:r>
        <w:rPr>
          <w:b/>
        </w:rPr>
        <w:t>E. 4.1</w:t>
      </w:r>
    </w:p>
    <w:p>
      <w:r>
        <w:t>Il conteste le montant du dommage alloué à l'intimée. Selon lui, 657 fr. doivent être retranchés.</w:t>
      </w:r>
    </w:p>
    <w:p>
      <w:r>
        <w:t>La fixation du dommage constitue une question de fait ( ATF 131 III 360 consid. 6.2 p. 366; 129 III 135 consid. 2.2 p. 141). La cour d'appel a arrêté le dommage à 401'393 fr., montant qui correspond à l'addition des postes qui, à partir du 17 avril 2003, ressortent en vert de la pièce 58 (cf. jugement attaqué p. 16). Le recourant entend soustraire à ce montant des postes antérieurs au 17 avril 2003 qui ressortent en bleu de la pièce 58. Les postes en question ne paraissent pourtant pas avoir été pris en compte dans le montant de 401'393 francs. Il incombait au recourant de fournir une explication claire à cet égard de manière à démontrer l'arbitraire dans la détermination du montant du dommage. La motivation qu'il présente est insuffisante au regard des exigences accrues posées par l' art. 106 al. 2 LTF (supra consid. 2.1). Elle est par conséquent irrecevable.</w:t>
      </w:r>
    </w:p>
    <w:p>
      <w:r>
        <w:rPr>
          <w:b/>
        </w:rPr>
        <w:t>E. 4.2</w:t>
      </w:r>
    </w:p>
    <w:p>
      <w:r>
        <w:t>Invoquant une violation de l' art. 126 al. 3 CPP , le recourant prétend que la cour d'appel aurait dû renvoyer l'intimée à agir devant le juge civil.</w:t>
      </w:r>
    </w:p>
    <w:p>
      <w:r>
        <w:t>L' art.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Pour le recourant, le travail disproportionné résiderait dans la conversion en francs suisses des différents montants en monnaies étrangères qu'il a dérobés. L'argument est infondé. Sur la pièce 58, l'intimée a elle-même indiqué la correspondance en francs suisses des montants en monnaies étrangères. La conversion de monnaies étrangères en francs suisses à propos de quelques dizaines de postes du dommage ne saurait constituer un travail disproportionné au sens de l' art. 126 al. 3 CPP .</w:t>
      </w:r>
    </w:p>
    <w:p>
      <w:r>
        <w:rPr>
          <w:b/>
        </w:rPr>
        <w:t>E. 4.3</w:t>
      </w:r>
    </w:p>
    <w:p>
      <w:r>
        <w:t>Le recourant laisse encore entendre qu'il n'est pas possible de savoir quels taux de change ont été appliqués. Il ne formule toutefois pas une critique précise, poste par poste du dommage, en démontrant dans quel cas un taux de change, qui constitue un fait notoire ( ATF 137 III 623 consid. 3 p. 625), aurait faussement été appliqué. Son grief est insuffisamment motivé au regard de l' art. 106 al. 2 LTF et est irrecevable. De plus, faute de conclusion suffisante, le recourant n'est de toute façon pas habilité à mettre en cause la quotité du dommage (cf. supra consid. 1 in fine), serait-ce par le biais des taux de change appliqués.</w:t>
      </w:r>
    </w:p>
    <w:p>
      <w:r>
        <w:rPr>
          <w:b/>
        </w:rPr>
        <w:t>E. 5</w:t>
      </w:r>
    </w:p>
    <w:p>
      <w:r>
        <w:t>Le recours doit être partiellement admis (supra consid. 3). Pour le surplus, il est rejeté dans la mesure où il est recevable. Vu le sort du recours, une partie des frais sera supportée par le recourant ( art. 66 al. 1 LTF ), dont le montant sera toutefois fixé en tenant compte de sa situation financière. Ce dernier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w:t>
      </w:r>
    </w:p>
    <w:p>
      <w:r>
        <w:t>Dès lors que que le point sur lequel le recours est admis concerne la peine, seul le ministère public et la cour cantonale ont été invités à se déterminer, l'intimée n'ayant pas d'intérêt à pouvoir se déterminer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