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6B_1267/2016 vom 2. Dezember 2016</w:t>
      </w:r>
    </w:p>
    <w:p>
      <w:r>
        <w:t>Bundesgericht, 2016-12-02, FR</w:t>
      </w:r>
    </w:p>
    <w:p>
      <w:r>
        <w:rPr>
          <w:b/>
        </w:rPr>
        <w:t xml:space="preserve">Quelle: </w:t>
      </w:r>
      <w:r>
        <w:t>https://mcp.opencaselaw.ch/entscheid/bger_6B_1267_2016</w:t>
      </w:r>
    </w:p>
    <w:p>
      <w:r>
        <w:t>FR: TF 6B_1267/2016 du 2 décembre 2016</w:t>
      </w:r>
    </w:p>
    <w:p>
      <w:r>
        <w:t>IT: TF 6B_1267/2016 del 2 dicembre 2016</w:t>
      </w:r>
    </w:p>
    <w:p>
      <w:pPr>
        <w:pStyle w:val="Heading2"/>
      </w:pPr>
      <w:r>
        <w:t>Erwägungen</w:t>
      </w:r>
    </w:p>
    <w:p>
      <w:r>
        <w:rPr>
          <w:b/>
        </w:rPr>
        <w:t>E. 1</w:t>
      </w:r>
    </w:p>
    <w:p>
      <w:r>
        <w:t>Par arrêt du 22 septembre 2016, la Chambre des recours pénale du Tribunal cantonal vaudois a rejeté la demande d'assistance judiciaire ainsi que le recours de X.________ et confirmé l'ordonnance de non-entrée en matière rendue le 26 avril 2016 sur les plaintes de ce dernier contre les Services de la commune de A.________ et inconnu pour intrusions illicites sur son ordinateur personnel et son téléphone portable. Le prénommé interjette un recours en matière pénale - assorti d'une demande d'assistance judiciaire -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des collaborateurs des Services de la commune de A.________ n'entrant pas dans cette catégorie (cf. loi vaudoise du 16 mai 1961 sur la responsabilité de l'Etat, des communes et de leurs agents [LRECA; RS/VD 170.11]).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tant que le recourant se plaint d'une prétendue violation de son droit de participer à l'administration des preuves et d'être entendu par le Ministère public, il invoque des griefs irrecevables à défaut d'être séparés du fond.</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