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6B_1264/2020 vom 14. Dezember 2020</w:t>
      </w:r>
    </w:p>
    <w:p>
      <w:r>
        <w:t>Bundesgericht, 2020-12-14, FR</w:t>
      </w:r>
    </w:p>
    <w:p>
      <w:r>
        <w:rPr>
          <w:b/>
        </w:rPr>
        <w:t xml:space="preserve">Quelle: </w:t>
      </w:r>
      <w:r>
        <w:t>https://mcp.opencaselaw.ch/entscheid/bger_6B_1264_2020</w:t>
      </w:r>
    </w:p>
    <w:p>
      <w:r>
        <w:t>FR: TF 6B_1264/2020 du 14 décembre 2020</w:t>
      </w:r>
    </w:p>
    <w:p>
      <w:r>
        <w:t>IT: TF 6B_1264/2020 del 14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 juillet 2020, le Tribunal de police de l'arrondissement de La Côte a condamné A.________, pour vol, dommages à la propriété, violation de domicile, rupture de ban et séjour illégal, à une peine privative de liberté de neuf mois. Il a en outre ordonné l'expulsion du prénommé du territoire suisse pour une durée de 20 ans.</w:t>
      </w:r>
    </w:p>
    <w:p>
      <w:r>
        <w:t>Par jugement du 18 septembre 2020, la Cour d'appel pénale du Tribunal cantonal du canton de Vaud a partiellement admis l'appel formé par A.________ contre ce jugement et a réformé celui-ci en ce sens que le prénommé est libéré du chef de prévention de rupture de ban, qu'il est condamné, pour vol, dommages à la propriété, violation de domicile et séjour illégal, à une peine privative de liberté de huit mois. Elle a confirmé le jugement pour le surplus.</w:t>
      </w:r>
    </w:p>
    <w:p>
      <w:r>
        <w:t>A.________ forme un recours en matière pénale au Tribunal fédéral contre le jugement du 18 septembre 2020, en concluant en substance à ce qu'il soit libéré des chefs de prévention de vol, dommages à la propriété et violation de domicile et à ce que son expulsion du territoire suisse ne soit pas ordonnée. Il sollicite par ailleurs le bénéfice de l'assistance judiciaire.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</w:t>
      </w:r>
    </w:p>
    <w:p>
      <w:r>
        <w:t>En l'espèce, le recourant conteste en substance être l'auteur du cambriolage retenu à sa charge et qui a entraîné sa condamnation pour vol, dommages à la propriété et violation de domicile. La cour cantonale a établi sa culpabilité dans cette affaire au terme d'une appréciation des preuves détaillée (cf. jugement attaqué, p. 14 s.), à laquelle l'intéressé oppose tout au plus une maigre argumentation appellatoire et, partant, irrecevable.</w:t>
      </w:r>
    </w:p>
    <w:p>
      <w:r>
        <w:t>Par ailleurs, on comprend que le recourant ne souhaite pas être expulsé du territoire suisse, mais ce dernier se borne, à cet égard, à formuler quelques critiques générales, qui ne sauraient être considérées comme formant un grief topique propre à démontrer que la cour cantonale aurait pu violer le droit.</w:t>
      </w:r>
    </w:p>
    <w:p>
      <w:r>
        <w:t>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3</w:t>
      </w:r>
    </w:p>
    <w:p>
      <w:r>
        <w:t>Le recours doit être déclaré irrecevable. Comme ses conclusions étaient vouées à l'échec, l'assistance judiciaire ne peut être accordée ( art. 64 al. 1 LTF ). Le recourant, qui succombe, supporte les frais judiciaires ( art. 66 al. 1 LTF ), fixés en tenant compte de sa situation.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