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6B_1263/2019 vom 16. Januar 2020</w:t>
      </w:r>
    </w:p>
    <w:p>
      <w:r>
        <w:t>Bundesgericht, 2020-01-16, FR</w:t>
      </w:r>
    </w:p>
    <w:p>
      <w:r>
        <w:rPr>
          <w:b/>
        </w:rPr>
        <w:t xml:space="preserve">Quelle: </w:t>
      </w:r>
      <w:r>
        <w:t>https://mcp.opencaselaw.ch/entscheid/bger_6B_1263_2019</w:t>
      </w:r>
    </w:p>
    <w:p>
      <w:r>
        <w:t>FR: TF 6B_1263/2019 du 16 janvier 2020</w:t>
      </w:r>
    </w:p>
    <w:p>
      <w:r>
        <w:t>IT: TF 6B_1263/2019 del 16 gennaio 2020</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Selon l'autorité précédente, le recourant n'avait jamais contesté l'importance du dépassement de vitesse enregistré le 17 octobre 2017, mais avait nié avoir alors conduit le motocycle concerné, dont il était le détenteur. Après avoir pris connaissance de la photographie prise par le radar, le recourant avait prétendu savoir qui conduisait son motocycle au moment des faits, mais avait refusé de révéler l'identité de cette personne. Entendus par la police, le père et la mère du recourant avaient exclu avoir conduit le motocycle au moment des faits, tandis que ses deux frères n'avaient pas souhaité s'exprimer à ce sujet ou avaient indiqué ne pas s'en souvenir. Le père et la mère du recourant, qui seuls avec ce dernier étaient titulaires du permis de conduire nécessaire, avaient déclaré emprunter très rarement le motocycle concerné. Aucun membre de la famille n'avait fourni son emploi du temps pour la soirée en question ni ne disposait alors du double de la clé du motocycle. Le recourant avait quant à lui concédé n'avoir qu'une clé pour cet engin. Ce dernier s'était contredit ou avait donné une explication peu convaincante concernant un domicile ou une résidence - à C.________ - différente de son adresse officielle à B.________. Or, ladite adresse se trouvait à cinq minutes, par la route, du lieu de l'infraction, et le conducteur avait, au moment des faits, circulé dans sa direction, à une heure de la soirée où l'on est, en semaine, susceptible de regagner son foyer. Selon la cour cantonale, le recourant avait refusé sans raison valable de donner l'identité du tiers avec lequel il aurait vécu à C.________, ce qui permettait de douter de la réalité d'un domicile en ce lieu. L'intéressé avait d'ailleurs également indiqué qu'à l'époque des faits l'appartement en question était habité par un membre de sa famille, en refusant de révéler son identité. Ainsi, il apparaissait peu probable qu'un proche, ne disposant pas de l'unique clé du motocycle, résidant à D.________ ou à proximité de E.________, eût emprunté cette machine afin de circuler en direction du domicile du recourant, un jour de semaine et à une heure avancée de la soirée. Le recourant, qui avait déjà été condamné pour des infractions aux règles de la circulation routière en 2011 et 2012, connaissait pour sa part les conséquences de telles infractions. Il convenait ainsi de retenir que celui-ci avait bien commis l'excès de vitesse en question.</w:t>
      </w:r>
    </w:p>
    <w:p>
      <w:r>
        <w:rPr>
          <w:b/>
        </w:rPr>
        <w:t>E. 1.3</w:t>
      </w:r>
    </w:p>
    <w:p>
      <w:r>
        <w:t>Le recourant affirme tout d'abord qu'il serait impossible d'apprécier la taille, le sexe et le gabarit de la personne figurant sur la photographie prise par le radar au moment des faits, ainsi que d'opérer un rapprochement avec ses propres caractéristiques en la matière. On ne voit pas dans quelle mesure un tel aspect serait de nature à influer sur le sort de la cause, puisque la cour cantonale - si elle a fait mention de cet élément dans son résumé des actes de la procédure - n'a pas utilisé celui-ci dans son appréciation des preuves et l'établissement des faits. L'argumentation du recourant est donc irrecevable à cet égard (cf. art. 97 al. 1 in fine LTF).</w:t>
      </w:r>
    </w:p>
    <w:p>
      <w:r>
        <w:t>Pour le reste, le recourant rediscute intégralement l'appréciation des preuves à laquelle s'est livrée l'autorité précédente, pour en conclure qu'aucun élément probatoire ne l'incriminerait directement et qu'il subsisterait donc un doute concernant son implication dans les événements litigieux. Ce faisant, il présente une argumentation purement appellatoire et, partant, irrecevable, qui ne fait aucunement apparaître comme insoutenable l'état de fait de la cour cantonale.</w:t>
      </w:r>
    </w:p>
    <w:p>
      <w:r>
        <w:t>C'est donc, en définitive, en vain que l'on cherche, dans le mémoire de recours de l'intéressé, un grief recevable en matière d'arbitraire dans l'établissement des faits et l'appréciation des preuves.</w:t>
      </w:r>
    </w:p>
    <w:p>
      <w:r>
        <w:rPr>
          <w:b/>
        </w:rPr>
        <w:t>E. 2</w:t>
      </w:r>
    </w:p>
    <w:p>
      <w:r>
        <w:t>Au vu de ce qui précède, 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