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6B_1261/2019 vom 21. November 2019</w:t>
      </w:r>
    </w:p>
    <w:p>
      <w:r>
        <w:t>Bundesgericht, 2019-11-21, FR</w:t>
      </w:r>
    </w:p>
    <w:p>
      <w:r>
        <w:rPr>
          <w:b/>
        </w:rPr>
        <w:t xml:space="preserve">Quelle: </w:t>
      </w:r>
      <w:r>
        <w:t>https://mcp.opencaselaw.ch/entscheid/bger_6B_1261_2019</w:t>
      </w:r>
    </w:p>
    <w:p>
      <w:r>
        <w:t>FR: TF 6B_1261/2019 du 21 novembre 2019</w:t>
      </w:r>
    </w:p>
    <w:p>
      <w:r>
        <w:t>IT: TF 6B_1261/2019 del 21 novembre 2019</w:t>
      </w:r>
    </w:p>
    <w:p>
      <w:pPr>
        <w:pStyle w:val="Heading2"/>
      </w:pPr>
      <w:r>
        <w:t>Erwägungen</w:t>
      </w:r>
    </w:p>
    <w:p>
      <w:r>
        <w:rPr>
          <w:b/>
        </w:rPr>
        <w:t>E. 1</w:t>
      </w:r>
    </w:p>
    <w:p>
      <w:r>
        <w:t>Par acte du 31 octobre 2019, A.________ recourt en matière pénale au Tribunal fédéral contre une ordonnance du 30 septembre 2019, par laquelle le Juge de la Chambre pénale du Tribunal cantonal valaisan a rejeté le recours interjeté par l'intéressé contre une ordonnance du 29 mars 2018. Par cette dernière, l'Office régional du ministère public du Valais central a refusé d'entrer en matière sur la plainte du 28 août 2017 portée par A.________ contre B.________ pour diffamation, voire calomnie, au motif que, dans le cadre d'une procédure d'annulation de leur mariage, elle avait menti en déclarant en audience qu'elle ignorait l'homosexualité de son époux jusqu'en 2013, alors qu'elle le savait plus d'une année avant leur mariage en 1995, lequel aurait été contracté par connivence.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w:t>
      </w:r>
    </w:p>
    <w:p>
      <w:r>
        <w:t>En l'espèce, le recourant ne fournit aucune indication quant à d'éventuelles prétentions civiles. Si la décision entreprise constate que la plainte comportait une constitution de partie civile, il n'en ressort pas non plus quelles auraient pu être les prétentions du recourant, leur fondement et leur étendue, notamment. Par ailleurs, compte tenu des conclusions prises devant elle par le recourant, la cour cantonale n'a examiné la décision de refus d'entrer en matière que dans la perspective de l' art. 306 al. 1 CP (fausse déclaration d'une partie en justice). Or, le recourant, qui ne reproche pas aux autorités cantonales de n'avoir pas examiné la cause sous l'angle des qualifications de diffamation et de calomnie mentionnées dans la plainte, invoque exclusivement, dans son mémoire de recours, une atteinte à sa dignité, qui ne constitue manifestement pas un bien juridique protégé par l' art. 306 CP . On ne perçoit, de toute manière, pas concrètement en quoi pourrait consister l'atteinte à l'honneur du recourant résultant du fait que son épouse aurait menti sur la</w:t>
      </w:r>
    </w:p>
    <w:p>
      <w:r>
        <w:t>connaissance qu'elle avait de son orientation sexuelle et moins encore en quoi pourraient consister les prétentions susceptibles d'être déduites d'une telle situation.</w:t>
      </w:r>
    </w:p>
    <w:p>
      <w:r>
        <w:t>Pour le surplus, on ne voit pas, à la lecture du mémoire de recours, que le recourant invoquerait la violation de son droit à la plainte (art. 81 al. 1 let. a et b ch. 6 LTF) et l'on ne discerne pas non plus de grief susceptible d'être appréhendé comme l'allégation d'une atteinte à un droit procédural entièrement séparé du fond (cf. ATF 141 IV 1 consid. 1.1 p. 5; 136 IV 29 consid. 1.9 p. 40 et les références citées).</w:t>
      </w:r>
    </w:p>
    <w:p>
      <w:r>
        <w:rPr>
          <w:b/>
        </w:rPr>
        <w:t>E. 3</w:t>
      </w:r>
    </w:p>
    <w:p>
      <w:r>
        <w:t>Au vu de ce qui précède, le recours doit être écarté dans la procédure prévue par l' art. 108 let. a et b LTF . Le recourant supporte les frais de la procédure (art. 65 al. 2 et 66 al.1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