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6B_1261/2018 vom 19. März 2019</w:t>
      </w:r>
    </w:p>
    <w:p>
      <w:r>
        <w:t>Bundesgericht, 2019-03-19, DE</w:t>
      </w:r>
    </w:p>
    <w:p>
      <w:r>
        <w:rPr>
          <w:b/>
        </w:rPr>
        <w:t xml:space="preserve">Quelle: </w:t>
      </w:r>
      <w:r>
        <w:t>https://mcp.opencaselaw.ch/entscheid/bger_6B_1261_2018</w:t>
      </w:r>
    </w:p>
    <w:p>
      <w:r>
        <w:t>FR: TF 6B_1261/2018 du 19 mars 2019</w:t>
      </w:r>
    </w:p>
    <w:p>
      <w:r>
        <w:t>IT: TF 6B_1261/2018 del 19 marzo 2019</w:t>
      </w:r>
    </w:p>
    <w:p>
      <w:pPr>
        <w:pStyle w:val="Heading2"/>
      </w:pPr>
      <w:r>
        <w:t>Erwägungen</w:t>
      </w:r>
    </w:p>
    <w:p>
      <w:r>
        <w:rPr>
          <w:b/>
        </w:rPr>
        <w:t>E. 1</w:t>
      </w:r>
    </w:p>
    <w:p>
      <w:r>
        <w:t>Die Beschwerdeführerin rügt, sie sei im Strafbefehlsverfahren nicht verteidigt gewesen, obwohl es sich gemäss Art. 132 Abs. 2 und Abs. 3 StPO aufgrund der Höhe der Sanktion nicht um einen Bagatellfall handle und eine amtliche Verteidigung geboten gewesen wäre. Sie sei daher in ihren Grundrechten verletzt worden. Das Fehlen der Verteidigung sei materiellrechtliche Grundlage des Strafbefehls, weshalb auf das Revisionsverfahren einzutreten sei. Es handle sich nicht um einen blossen Verfahrensfehler.</w:t>
      </w:r>
    </w:p>
    <w:p>
      <w:r>
        <w:rPr>
          <w:b/>
        </w:rPr>
        <w:t>E. 2.1</w:t>
      </w:r>
    </w:p>
    <w:p>
      <w:r>
        <w:t>Wer durch ein rechtskräftiges Urteil, einen Strafbefehl, einen nachträglichen richterlichen Entscheid oder einen Entscheid im selbstständigen Massnahmenverfahren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rPr>
          <w:b/>
        </w:rPr>
        <w:t>E. 2.2</w:t>
      </w:r>
    </w:p>
    <w:p>
      <w:r>
        <w:t>Tatsachen und Beweismittel im Sinne von Art. 410 Abs. 1 lit. a StPO sind neu, wenn das Gericht im Zeitpunkt der Urteilsfällung keine Kenntnis von ihnen hatte, das heisst, wenn sie ihm nicht in irgendeiner Form unterbreitet worden sind ( BGE 137 IV 59 E. 5.1.2; 130 IV 72 E. 1; 116 IV 353 E. 3a).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 BGE 130 IV 72 E. 2.3; Urteil 6B_1099/2018 vom 29. Januar 2019 E. 1.3 mit Hinweisen).</w:t>
      </w:r>
    </w:p>
    <w:p>
      <w:r>
        <w:rPr>
          <w:b/>
        </w:rPr>
        <w:t>E. 2.3</w:t>
      </w:r>
    </w:p>
    <w:p>
      <w:r>
        <w:t>Das Revisionsverfahren gliedert sich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 6B_616/2016 vom 27. Februar 2017 E. 3.5, nicht publ. in: BGE 143 IV 122 mit Hinweis).</w:t>
      </w:r>
    </w:p>
    <w:p>
      <w:r>
        <w:rPr>
          <w:b/>
        </w:rPr>
        <w:t>E. 3</w:t>
      </w:r>
    </w:p>
    <w:p>
      <w:r>
        <w:t>Die Vorinstanz tritt auf das Revisionsgesuch der Beschwerdeführerin im Rahmen der Vorprüfung nicht ein. Sie erwägt, die Beschwerdeführerin rüge mit der fehlenden Verteidigung und der unterbliebenen Einvernahme vor der Staatsanwaltschaft Verfahrensmängel. Solche Mängel seien einer Revision nicht zugänglich und stellten keinen Revisionsgrund nach Art. 410 Abs. 1 lit. a StPO dar, sondern hätten mit dem ordentlichen Rechtsmittel der Einsprache gegen den Strafbefehl vorgebracht werden müssen.</w:t>
      </w:r>
    </w:p>
    <w:p>
      <w:r>
        <w:rPr>
          <w:b/>
        </w:rPr>
        <w:t>E. 4.1</w:t>
      </w:r>
    </w:p>
    <w:p>
      <w:r>
        <w:t>Die Revision kann sich gemäss ständiger Rechtsprechung nur gegen materielle Urteilsgrundlagen richten. Die fehlende Effektivität einer vorhandenen Verteidigung stellt keinen Revisionsgrund im Sinne von Art. 410 Abs. 1 lit. a StPO dar (Urteile 6B_344/2018 vom 11. Dezember 2018 E. 2.2, 6B_425/2014 vom 21. Juli 2014 E. 5; 6B_986/2013 vom 11. Juli 2014 E. 4.1; 6B_186/2011 vom 10. Juni 2011 E. 2.6; teils mit Hinweisen). Auch die von der Beschwerdeführerin erhobene Rüge, dass eine Verteidigung gänzlich fehlte, betrifft nicht die materiellrechtlichen Urteilsgrundlagen, welche zu ihrer Verurteilung wegen Betrugs nach Art. 146 Abs. 1 StGB geführt haben (z.B. Tatsachen betreffend die arglistige Täuschungshandlung, den Irrtum, die Vermögensdisposition und den Vermögensschaden sowie Wissen und Willen). Vielmehr ist die Frage, ob eine Verteidigung nach Art. 128 ff. StPO zu bestellen gewesen wäre, prozessrechtlich geregelt. Darüber hinaus handelt es sich bei der fehlenden Verteidigung nicht um eine neue Tatsache, welche erst nach Erlass des Strafbefehls bekannt geworden wäre (vgl. BGE 137 IV 59 E. 5.1.2). Vielmehr war dieser Umstand der Beschwerdeführerin bereits im Zeitpunkt des Erlasses des Strafbefehls bekannt. Somit ist die Vorinstanz in korrekter Anwendung von Bundesrecht zum Schluss gelangt, es fehle an einem tauglichen Revisionsgrund nach Art. 410 Abs. 1 lit. a StPO .</w:t>
      </w:r>
    </w:p>
    <w:p>
      <w:r>
        <w:rPr>
          <w:b/>
        </w:rPr>
        <w:t>E. 4.2</w:t>
      </w:r>
    </w:p>
    <w:p>
      <w:r>
        <w:t>Darüber hinaus substanziiert die Beschwerdeführerin nicht näher, welche Auswirkungen die fehlende Verteidigung auf den rechtserheblichen Sachverhalt gehabt haben soll. Mit den Hinweisen, dass sie nebst den polizeilichen Befragungen gerne ein weiteres Mal staatsanwaltschaftlich befragt worden wäre, und dass sie eine andere rechtliche Qualifikation des Tatgeschehens (Art. 148a statt Art. 146 Abs. 1 StGB ) für möglich halte, genügt sie den Begründungsanforderungen nach Art. 42 Abs. 2 BGG nicht.</w:t>
      </w:r>
    </w:p>
    <w:p>
      <w:r>
        <w:rPr>
          <w:b/>
        </w:rPr>
        <w:t>E. 4.3</w:t>
      </w:r>
    </w:p>
    <w:p>
      <w:r>
        <w:t>Soweit die Beschwerdeführerin rügt, sie habe auf Druck der Staatsanwaltschaft die Einsprache gegen den Strafbefehl zurückgezogen, ist sie im Verfahren vor Bundesgericht nicht zu hören. Es handelt sich um eine Behauptung, welche sie ohne Bezug zum vorinstanzlichen Beschluss und ohne Bezug zu den Voraussetzungen einer Revision nach Art. 410 ff. StPO vorträgt. Im Übrigen findet diese Behauptung keine Stütze in den Akten. So ergibt sich aus der Einsprache der Beschwerdeführerin vom 5. März 2018, dass sie primär wünschte, nicht im Strafregister eingetragen zu werden. Hingegen räumte sie ein, nicht alle Einnahmen aus ihrer Arbeitstätigkeit dem Sozialamt deklariert zu haben und die ihr auferlegte Busse bezahlen zu wollen. Die in der Einsprache vorgetragenen Anliegen der Beschwerdeführerin stimmen inhaltlich mit dem in der Telefonnotiz der Staatsanwaltschaft vom 6. März 2018 dokumentierten Gesprächsinhalt überein. Daraus ergibt sich, dass die Staatsanwaltschaft der Beschwerdeführerin die Folgen einer Verurteilung erläuterte und ihr die prozessualen Möglichkeiten ergebnisoffen aufzeigte.</w:t>
      </w:r>
    </w:p>
    <w:p>
      <w:r>
        <w:rPr>
          <w:b/>
        </w:rPr>
        <w:t>E. 5</w:t>
      </w:r>
    </w:p>
    <w:p>
      <w:r>
        <w:t>Die Beschwerde ist abzuweisen, soweit darauf einzutreten ist. Das Gesuch um unentgeltliche Rechtspflege und Verbeiständung ist infolge Aussichtslosigkeit abzuweisen ( Art. 64 Abs. 1 und 2 BGG ). Bei diesem Ausgang trägt die Beschwerdeführerin die Verfahrenskosten ( Art. 66 Abs. 1 BGG ). Ihren finanziellen Verhältnissen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