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6B_125/2020 vom 8. Juni 2020</w:t>
      </w:r>
    </w:p>
    <w:p>
      <w:r>
        <w:t>Bundesgericht, 2020-06-08, FR</w:t>
      </w:r>
    </w:p>
    <w:p>
      <w:r>
        <w:rPr>
          <w:b/>
        </w:rPr>
        <w:t xml:space="preserve">Quelle: </w:t>
      </w:r>
      <w:r>
        <w:t>https://mcp.opencaselaw.ch/entscheid/bger_6B_125_2020</w:t>
      </w:r>
    </w:p>
    <w:p>
      <w:r>
        <w:t>FR: TF 6B_125/2020 du 8 juin 2020</w:t>
      </w:r>
    </w:p>
    <w:p>
      <w:r>
        <w:t>IT: TF 6B_125/2020 del 8 giugno 2020</w:t>
      </w:r>
    </w:p>
    <w:p>
      <w:pPr>
        <w:pStyle w:val="Heading2"/>
      </w:pPr>
      <w:r>
        <w:t>Erwägungen</w:t>
      </w:r>
    </w:p>
    <w:p>
      <w:r>
        <w:rPr>
          <w:b/>
        </w:rPr>
        <w:t>E. 1</w:t>
      </w:r>
    </w:p>
    <w:p>
      <w:r>
        <w:t>Dénonçant la violation des art. 325 al. 1 let . f et 350 al. 1 CPP, le recourant fait grief à la cour cantonale d'avoir retenu des faits qui n'étaient pas couverts par l'acte d'accusation.</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p. 65; arrêt 6B_665/2017 du 10 janvier 2018 consid. 1.1). Des imprécisions relatives au lieu ou à la date sont sans portée, dans la mesure où le prévenu ne peut avoir de doute sur le comportement qui lui est reproché (arrêts 6B_696/2019 du 24 septembre 2019 consid. 1.2.1; 6B_275/2016 du 9 décembre 2016 consid. 2.1 et la référence citée).</w:t>
      </w:r>
    </w:p>
    <w:p>
      <w:r>
        <w:rPr>
          <w:b/>
        </w:rPr>
        <w:t>E. 1.2</w:t>
      </w:r>
    </w:p>
    <w:p>
      <w:r>
        <w:t>Le recourant soutient, d'abord, que l'acte d'accusation ne se rapporte pas à la facturation de prestations fictives, mais à une situation de polypragmasie; c'est ainsi que, selon lui, l'acte d'accusation mentionne qu'il aurait trompé ses patients en leur faisant croire que les séances prodiguées étaient justifiées d'un point de vue médical, alors qu'elles ne l'étaient pas, et qu'il y aurait ainsi eu escroquerie au préjudice de ses patients et des assureurs. En outre, le recourant se plaint de l'imprécision de l'acte d'accusation. Il soutient qu'il lui était impossible de savoir quels patients étaient concernés par la facturation fictive, dès lors que l'acte d'accusation énumère 23 " cas ", pour plus de 300 factures.</w:t>
      </w:r>
    </w:p>
    <w:p>
      <w:r>
        <w:rPr>
          <w:b/>
        </w:rPr>
        <w:t>E. 1.3.1</w:t>
      </w:r>
    </w:p>
    <w:p>
      <w:r>
        <w:t>L'acte d'accusation prévoit notamment ce qui suit: «</w:t>
      </w:r>
    </w:p>
    <w:p>
      <w:r>
        <w:t>A.________ a prodigué pendant plusieurs mois de suite à ses patients trois à neuf séances de physiothérapie et/ou d'ostéopathie par mois, d'une durée de 5 à 60 minutes, à un tarif fixe de 120 fr., puis 150 fr par séance. Il leur faisait croire que ces séances étaient nécessaires pour les soigner, alors qu'il est médicalement impossible de justifier une telle pratique et contre-indiqué d'enchaîner des séances à intervalle aussi rapproché. Au terme des séances, il se faisait payer, au comptant, par ses patients sans qu'il ne leur remette de quittance. A la fin de chaque mois, il établissait des factures récapitulatives sur lesquelles il mentionnait des dates auxquelles les séances auraient eu lieu qui ne correspondaient pas à la réalité et les traitements prodigués qui ne correspondaient pas aux maux dont souffraient les patients. Il apposait aussi indûment l'en-tête du cabinet médical de H.________ - auprès duquel il n'exerçait plus depuis 2006 -, le numéro CAMS attribué à H.________ par le Registre de la médecine empirique, le timbre humide « SSPDO » utilisé par les physio-ostéopathes diplômés. Il remettait ensuite ces factures récapitulatives aux patients qui les adressaient à leur assureur afin de se faire rembourser les montants facturés, après déduction de la quote-part de 20% à 25% laissée à la charge des patients. "</w:t>
      </w:r>
    </w:p>
    <w:p>
      <w:r>
        <w:t>L'acte d'accusation énumère ensuite 23 cas, pour plus de 300 factures. Il mentionne notamment, sous lettre h, qu'entre le 27 janvier et le 27 septembre 2012, A.________ a établi 9 factures mensuelles pour un montant total de 11'850 fr. au nom de G.________, facturant à cette dernière 8 à 9 séances par mois. Il note, sous lettre j, qu'entre le 27 janvier et le 25 octobre 2012, A.________ a établi 10 factures mensuelles pour un montant total de 13'050 fr. au nom de F.________, facturant à ce dernier 8 à 9 séances par mois.</w:t>
      </w:r>
    </w:p>
    <w:p>
      <w:r>
        <w:rPr>
          <w:b/>
        </w:rPr>
        <w:t>E. 1.3.2</w:t>
      </w:r>
    </w:p>
    <w:p>
      <w:r>
        <w:t>La cour cantonale a retenu que le recourant avait facturé à certains de ses patients des séances fictives qui n'avaient pas réellement eu lieu. Elle a estimé que la phrase du chiffre 1 de l'acte d'accusation aux termes de laquelle «...</w:t>
      </w:r>
    </w:p>
    <w:p>
      <w:r>
        <w:t>des factures récapitulatives sur lesquelles il mentionnait des dates auxquelles les séances auraient eu lieu qui ne correspondaient pas à la réalité et les traitements prodigués qui ne correspondaient pas aux maux dont souffraient les patients » décrivait suffisamment les actes consistant à facturer des séances fictives.</w:t>
      </w:r>
    </w:p>
    <w:p>
      <w:r>
        <w:rPr>
          <w:b/>
        </w:rPr>
        <w:t>E. 1.3.3</w:t>
      </w:r>
    </w:p>
    <w:p>
      <w:r>
        <w:t>La cour de céans ne peut pas suivre l'interprétation que fait la cour cantonale de l'acte d'accusation. Celui-ci mentionne que le recourant a prodigué à ses patients des séances de thérapie, alors que celles-ci n'étaient pas nécessaires pour les soigner. La phrase citée par la cour cantonale signifie que le recourant établissait des factures récapitulatives, en y mentionnant un traitement qui ne correspondait pas aux maux dont souffraient les patients et avec une date qui ne correspondait pas à la réalité. On ne peut pas déduire de cette phrase que les séances facturées n'avaient pas eu lieu. En condamnant le recourant pour facturation de prestations fictives, la cour cantonale s'est donc écartée de l'acte d'accusation.</w:t>
      </w:r>
    </w:p>
    <w:p>
      <w:r>
        <w:t>En outre, l'acte d'accusation ne désigne pas précisément la date de la commission des actes reprochés (escroquerie, mais aussi faux dans les titres). Il fixe un cadre légal de huit mois (entre le 27 janvier et le 27 septembre 2012) pour les factures établies au nom de G.________ et de près de neuf mois (entre le 27 janvier et le 25 octobre 2012) pour les factures établies au nom de F.________. Il est certes admissible que l'acte d'accusation n'indique qu'un cadre légal lorsque l'instruction ne permet pas de déterminer précisément la date de la commission de l'infraction, par exemple en raison de l'écoulement du temps ou s'agissant de délits collectifs, comme les infractions commises par métier (cf. HEIMGARTNER/NIGGLI, in Basler Kommentar, Schweizerische Strafprozessordnung, 2e éd., 2014, n° 20 ad art. 325 CPP ; SCHUBARTH/GRAA, in Commentaire romand, Code de procédure pénale, 2e éd., 2019, n° 44, 49 ad art. 325 CPP ). En l'espèce, il ne s'agit toutefois pas de l'une de ces hypothèses. Il appartenait donc à l'acte d'accusation de mentionner plus précisément les patients concernés et les factures en cause, afin que le recourant puisse connaître les actes qui lui étaient reprochés.</w:t>
      </w:r>
    </w:p>
    <w:p>
      <w:r>
        <w:t>En définitive, la cour cantonale ne pouvait pas condamner le recourant pour avoir facturé des séances fictives à ses patients F.________ et G.________ sur la base de l'acte d'accusation du 8 février 2019. L'acte d'accusation ne couvre pas la facturation de prestations fictives. En outre, il n'est pas suffisamment précis et ne permet pas de déterminer les factures incriminées et les clients concernés. Le jugement attaqué doit donc être annulé s'agissant des infractions d'escroquerie et de faux dans les titres et la cause renvoyée sur ces points à la cour cantonale pour nouveau jugement.</w:t>
      </w:r>
    </w:p>
    <w:p>
      <w:r>
        <w:rPr>
          <w:b/>
        </w:rPr>
        <w:t>E. 2</w:t>
      </w:r>
    </w:p>
    <w:p>
      <w:r>
        <w:t>Le recourant conteste sa condamnation pour violation de la LArm.</w:t>
      </w:r>
    </w:p>
    <w:p>
      <w:r>
        <w:rPr>
          <w:b/>
        </w:rPr>
        <w:t>E. 2.1</w:t>
      </w:r>
    </w:p>
    <w:p>
      <w:r>
        <w:t>Aux termes de l' art. 33 al. 1 LArm ,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(al. 1 let. a). Si l'auteur agit par négligence, la peine est une amende. Dans les cas de peu de gravité, le juge peut exempter l'auteur de toute peine (al. 2).</w:t>
      </w:r>
    </w:p>
    <w:p>
      <w:r>
        <w:rPr>
          <w:b/>
        </w:rPr>
        <w:t>E. 2.2</w:t>
      </w:r>
    </w:p>
    <w:p>
      <w:r>
        <w:t>Invoquant l'erreur sur les faits ( art. 13 CP ), le recourant soutient qu'il a cru que le spray de défense, qui lui avait été remis par une connaissance, était autorisé. Il explique qu'il existe plusieurs sortes de sprays, dont certains ne sont pas interdits et ne tombent pas sous le coup de la LArm, et qu'il n'est donc pas possible pour un béotien de faire la différence et de connaître la composition du produit, l'existence de sprays de défense en vente libre ajoutant la confusion dans le public.</w:t>
      </w:r>
    </w:p>
    <w:p>
      <w:r>
        <w:t>Déterminer si le recourant savait que le spray litigieux était illicite est une constatation de fait, qui lie la cour de céans, à moins que le recourant ne démontre que celle-ci était manifestement inexacte (cf. ATF 142 IV 137 consid. 12 p. 152; 141 IV 369 consid. 6.3 p. 375). En l'espèce, la cour cantonale a retenu que le recourant savait qu'il s'agissait d'un spray de défense illicite en raison du contexte dans lequel il était entré dans sa possession. Elle a expliqué que le recourant s'était fait agresser par une bande de Serbes et de Kosovars dans une discothèque, que des menaces de mort avaient été proférées, que la sécurité s'était interposée et qu'une fois la situation réglée, un client lui avait remis ce spray et le taser pour le trajet du retour. Dans son argumentation, le recourant n'établit pas que la constatation de la cour cantonale est arbitraire, mais se borne à affirmer qu'il ne connaissait pas l'illicéité de ce spray de défense, au motif qu'il existe plusieurs sortes de sprays dont certains ne sont pas interdits et qu'il est impossible pour un béotien de faire la différence. Purement appellatoire, cette argumentation est irrecevable.</w:t>
      </w:r>
    </w:p>
    <w:p>
      <w:r>
        <w:t>Pour le surplus, le grief tiré de la violation du droit d'être entendu (défaut de motivation) doit être rejeté, dans la mesure où la cour cantonale a expliqué les raisons qui l'ont conduite à retenir que le recourant savait que le spray de défense n'était pas autorisé.</w:t>
      </w:r>
    </w:p>
    <w:p>
      <w:r>
        <w:rPr>
          <w:b/>
        </w:rPr>
        <w:t>E. 2.3</w:t>
      </w:r>
    </w:p>
    <w:p>
      <w:r>
        <w:t>S'agissant de l'appareil à électrochocs, le recourant fait valoir qu'il a agi par négligence et que, par conséquent, il ne s'est rendu coupable que d'une contravention ( art. 33 al. 2 LArm ), qui serait prescrite.</w:t>
      </w:r>
    </w:p>
    <w:p>
      <w:r>
        <w:t>La cour cantonale a retenu que le recourant savait qu'il s'agissait d'une arme compte tenu du contexte dans lequel le recourant a obtenu le taser (cf. considérant 2.2 ci-dessus). Dans son argumentation, le recourant n'établit pas que cette constatation de fait est manifestement inexacte, de sorte que la cour de céans est liée par celle-ci. Dans la mesure où le recourant savait que le taser était une arme et qu'il a accepté de la détenir, il a agi intentionnellement. Le grief du recourant doit donc être rejeté.</w:t>
      </w:r>
    </w:p>
    <w:p>
      <w:r>
        <w:rPr>
          <w:b/>
        </w:rPr>
        <w:t>E. 3</w:t>
      </w:r>
    </w:p>
    <w:p>
      <w:r>
        <w:t>Le recourant critique la mesure de la peine.</w:t>
      </w:r>
    </w:p>
    <w:p>
      <w:r>
        <w:t>Ce grief est sans objet, dans la mesure où la cause est renvoyée à la cour cantonale pour qu'elle statue à nouveau sur les infractions d'escroquerie et de faux dans les titres.</w:t>
      </w:r>
    </w:p>
    <w:p>
      <w:r>
        <w:rPr>
          <w:b/>
        </w:rPr>
        <w:t>E. 4</w:t>
      </w:r>
    </w:p>
    <w:p>
      <w:r>
        <w:t>Le recourant fait valoir que le dispositif du jugement attaqué devrait mentionner que les conclusions civiles de C.________ SA sont rejetées.</w:t>
      </w:r>
    </w:p>
    <w:p>
      <w:r>
        <w:t>La cour cantonale a jugé qu'aucune prétention civile ne devait être allouée au C.________ SA (jugement attaqué p. 24). En effet, le montant de 112 fr. 50 correspondait à la séance de J.________ du 31 octobre 2011 qui avait été facturée à double à l'assurance susmentionnée. Or, la cour cantonale avait libéré le recourant de cette accusation, dès lors que ce cas de double facturation n'était pas couvert par l'acte d'accusation.</w:t>
      </w:r>
    </w:p>
    <w:p>
      <w:r>
        <w:t>Dans la mesure où seul le dispositif déploie des effets juridiques et revêt l'autorité de chose jugée (cf. BERNARD CORBOZ, in Commentaire de la LTF, 2e éd., 2014, n° 31 ad art. 112 LTF ; arrêt 6B_1189/2017 du 23 mai 2018 consid. 1.3), il doit mentionner le rejet des conclusions civiles du C.________ SA. Le recours doit donc être admis sur ce point et le dispositif du jugement attaqué doit être corrigé dans ce sens.</w:t>
      </w:r>
    </w:p>
    <w:p>
      <w:r>
        <w:rPr>
          <w:b/>
        </w:rPr>
        <w:t>E. 5</w:t>
      </w:r>
    </w:p>
    <w:p>
      <w:r>
        <w:t>Le recourant conteste la confiscation d'un agenda bleu 2012 et d'un agenda noir 2012, au motif que ceux-ci ne constituent pas des objets dangereux au sens de l' art. 69 CP .</w:t>
      </w:r>
    </w:p>
    <w:p>
      <w:r>
        <w:t>En l'espèce, ces deux agendas, en lien avec les facturations fictives de février 2012, ont été confisqués au recourant et maintenus au dossier. Dans la mesure où la cause est renvoyée à la cour cantonale pour nouveau jugement s'agissant de l'escroquerie, elle devra se prononcer à nouveau sur la question de la confiscation des deux agendas. Le grief soulevé est donc sans objet.</w:t>
      </w:r>
    </w:p>
    <w:p>
      <w:r>
        <w:rPr>
          <w:b/>
        </w:rPr>
        <w:t>E. 6</w:t>
      </w:r>
    </w:p>
    <w:p>
      <w:r>
        <w:t>Le recourant conteste la répartition des frais et le montant de l'indemnité selon l' art. 429 CPP .</w:t>
      </w:r>
    </w:p>
    <w:p>
      <w:r>
        <w:t>Dès lors que le recours est partiellement admis et le jugement attaqué annulé, ces griefs sont également sans objet.</w:t>
      </w:r>
    </w:p>
    <w:p>
      <w:r>
        <w:rPr>
          <w:b/>
        </w:rPr>
        <w:t>E. 7</w:t>
      </w:r>
    </w:p>
    <w:p>
      <w:r>
        <w:t>Le recours est partiellement admis. Pour le surplus, il est rejeté dans la mesure où il est recevable.</w:t>
      </w:r>
    </w:p>
    <w:p>
      <w:r>
        <w:t>Le recourant, qui succombe partiellement, supporte une partie des frais judiciaires, de même que l'intimée B.________ SA, qui a conclu au rejet du recours ( art. 66 al. 1 LTF ). Le recourant peut prétendre à des dépens réduits, à la charge pour moitié chacun, d'une part, du canton de Vaud et, d'autre part, de l'intimée B.________ SA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