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6B_125/2016 vom 22. Februar 2016</w:t>
      </w:r>
    </w:p>
    <w:p>
      <w:r>
        <w:t>Bundesgericht, 2016-02-22, DE</w:t>
      </w:r>
    </w:p>
    <w:p>
      <w:r>
        <w:rPr>
          <w:b/>
        </w:rPr>
        <w:t xml:space="preserve">Quelle: </w:t>
      </w:r>
      <w:r>
        <w:t>https://mcp.opencaselaw.ch/entscheid/bger_6B_125_2016</w:t>
      </w:r>
    </w:p>
    <w:p>
      <w:r>
        <w:t>FR: TF 6B_125/2016 du 22 février 2016</w:t>
      </w:r>
    </w:p>
    <w:p>
      <w:r>
        <w:t>IT: TF 6B_125/2016 del 22 febbraio 2016</w:t>
      </w:r>
    </w:p>
    <w:p>
      <w:pPr>
        <w:pStyle w:val="Heading2"/>
      </w:pPr>
      <w:r>
        <w:t>Erwägungen</w:t>
      </w:r>
    </w:p>
    <w:p>
      <w:r>
        <w:rPr>
          <w:b/>
        </w:rPr>
        <w:t>E. 1</w:t>
      </w:r>
    </w:p>
    <w:p>
      <w:r>
        <w:t>Zwischen dem Beschwerdeführer und einem Nachbarn besteht seit Jahren ein Streit über Bestand und Umfang eines Wegrechts. In diesem Zusammenhang liess der Nachbar eine Hecke fällen. Der Beschwerdeführer erstattete in der Folge zwei Strafanzeigen wegen Sachbeschädigung und Hausfriedensbruchs sowie wegen des Verdachts auf Ungehorsam gegen amtliche Verfügungen. Am 11. August 2015 stellte die Staatsanwaltschaft See/Oberland das Verfahren ein, soweit es in ihrer Kompetenz zu verfolgende Delikte betraf. Eine dagegen gerichtete Beschwerde wies das Obergericht des Kantons Zürich am 20. Januar 2016 ab.</w:t>
      </w:r>
    </w:p>
    <w:p>
      <w:r>
        <w:t>Der Beschwerdeführer wendet sich ans Bundesgericht und beantragt, der Beschluss des Obergerichts vom 20. Januar 2016 sei aufzuheben und seine Beschwerde gegen die Einstellungsverfügung der Staatsanwaltschaft gutzuheissen.</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ist ohne weitere Begründung der Meinung, seine Legitimation sei nach Art. 81 Abs. 1 lit. b Ziff. 5 BGG gegeben (Beschwerde S. 2 Ziff. 2). Zur Frage der Zivilforderung äussert er sich nicht. Um welche es gehen könnte, ist auch nicht ohne Weiteres ersichtlich. Er hat eine solche gemäss angefochtenem Beschluss im kantonalen Verfahren denn auch nicht geltend gemacht. Auf die Beschwerde ist mangels dargetaner Legitimation im Verfahren nach Art. 108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