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6B_1259/2018 vom 9. Januar 2019</w:t>
      </w:r>
    </w:p>
    <w:p>
      <w:r>
        <w:t>Bundesgericht, 2019-01-09, FR</w:t>
      </w:r>
    </w:p>
    <w:p>
      <w:r>
        <w:rPr>
          <w:b/>
        </w:rPr>
        <w:t xml:space="preserve">Quelle: </w:t>
      </w:r>
      <w:r>
        <w:t>https://mcp.opencaselaw.ch/entscheid/bger_6B_1259_2018</w:t>
      </w:r>
    </w:p>
    <w:p>
      <w:r>
        <w:t>FR: TF 6B_1259/2018 du 9 janvier 2019</w:t>
      </w:r>
    </w:p>
    <w:p>
      <w:r>
        <w:t>IT: TF 6B_1259/2018 del 9 gennaio 2019</w:t>
      </w:r>
    </w:p>
    <w:p>
      <w:pPr>
        <w:pStyle w:val="Heading2"/>
      </w:pPr>
      <w:r>
        <w:t>Erwägungen</w:t>
      </w:r>
    </w:p>
    <w:p>
      <w:r>
        <w:rPr>
          <w:b/>
        </w:rPr>
        <w:t>E. 1</w:t>
      </w:r>
    </w:p>
    <w:p>
      <w:r>
        <w:t>Par jugement du 29 novembre 2017, le</w:t>
      </w:r>
    </w:p>
    <w:p>
      <w:r>
        <w:t>Bezirksgericht de Baden a condamné X.________, pour infraction à l' art. 19 al. 2 LStup et conduite sans permis, à une peine privative de liberté de 16 mois, avec sursis durant deux ans portant sur 8 mois. Il a en outre ordonné son expulsion du territoire suisse pour une durée de sept ans.</w:t>
      </w:r>
    </w:p>
    <w:p>
      <w:r>
        <w:t>Par jugement du 24 septembre 2018, la première chambre pénale de l'</w:t>
      </w:r>
    </w:p>
    <w:p>
      <w:r>
        <w:t>Obergericht du canton d'Argovie a rejeté l'appel formé par le prénommé contre ce jugement.</w:t>
      </w:r>
    </w:p>
    <w:p>
      <w:r>
        <w:t>X.________ forme un recours en matière pénale au Tribunal fédéral contre le jugement du 24 septembre 2018, en concluant, avec suite de frais et dépens, à son annulation partielle.</w:t>
      </w:r>
    </w:p>
    <w:p>
      <w:r>
        <w:rPr>
          <w:b/>
        </w:rPr>
        <w:t>E. 2</w:t>
      </w:r>
    </w:p>
    <w:p>
      <w:r>
        <w:t>Selon l' art. 54 al. 1 LTF , la procédure devant le Tribunal fédéral est conduite dans l'une des langues officielles (allemand, français, italien, rumantsch grischun), en règle générale dans la langue de la décision attaquée. L' art. 54 al. 1 2 ème phrase LTF permet toutefois au Tribunal fédéral d'utiliser une autre langue officielle que celle de la décision attaquée. Il jouit à cet égard d'une grande marge d'appréciation (arrêt 6B_851/2018 du 7 décembre 2018 consid. 1).</w:t>
      </w:r>
    </w:p>
    <w:p>
      <w:r>
        <w:t>En l'occurrence, le recourant a recouru contre le jugement attaqué, rendu en langue allemande, au moyen d'un mémoire rédigé en français. Il n'est pas assisté par un avocat et soutient qu'il ne comprend pas l'allemand. Le recourant sollicite ainsi que le Tribunal fédéral rende sa décision en français, langue qu'il maîtrise. Dès lors que l'intéressé a été assisté d'un interprète dans le cadre de la procédure cantonale et ne maîtrise manifestement pas la langue allemande, le présent arrêt peut être rendu en français.</w:t>
      </w:r>
    </w:p>
    <w:p>
      <w:r>
        <w:rPr>
          <w:b/>
        </w:rPr>
        <w:t>E. 3</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ne formule aucune conclusion en réforme et l'on peine à comprendre s'il conteste encore les infractions pour lesquelles il a été condamné ou uniquement son expulsion du territoire suisse. Dans la mesure où l'intéressé entend contester sa condamnation pour infraction à l' art. 19 al. 2 LStup , son argumentation s'avère de toute manière purement appellatoire et, partant, irrecevable. S'agissant de la mesure d'expulsion, le recourant ne présente aucune argumentation topique propre à démontrer en quoi la cour cantonale aurait violé le droit, mais se borne à se plaindre de celle-ci en la présentant comme excessive. Pour le reste, le recourant se réfère aux recommandations de la Conférence des procureurs de Suisse, sans même expliquer ce qu'il pourrait en déduire, ni en quoi ce document ferait apparaître l'expulsion ordonnée par l'autorité précédente comme contraire au droit fédéral, constitutionnel ou conventionnel.</w:t>
      </w:r>
    </w:p>
    <w:p>
      <w:r>
        <w:t>En définitive, le recourant ne démontre aucunement en quoi les considérations cantonales violeraient le droit. Faute de satisfaire aux conditions de recevabilité d'un recours en matière pénale au Tribunal fédéral (cf. art. 42 al. 1 et 2 ; 106 al. 2 LTF ), le recours doit être déclaré irrecevable en application de l' art. 108 al. 1 let. a et b LTF .</w:t>
      </w:r>
    </w:p>
    <w:p>
      <w:r>
        <w:rPr>
          <w:b/>
        </w:rPr>
        <w:t>E. 4</w:t>
      </w:r>
    </w:p>
    <w:p>
      <w:r>
        <w:t>Le recours est irrecevable. Comme il était dénué de chances de succès, l'assistance judiciaire ne peut être accordée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