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6B_1256/2016 vom 21. Februar 2018</w:t>
      </w:r>
    </w:p>
    <w:p>
      <w:r>
        <w:t>Bundesgericht, 2018-02-21, FR</w:t>
      </w:r>
    </w:p>
    <w:p>
      <w:r>
        <w:rPr>
          <w:b/>
        </w:rPr>
        <w:t xml:space="preserve">Quelle: </w:t>
      </w:r>
      <w:r>
        <w:t>https://mcp.opencaselaw.ch/entscheid/bger_6B_1256_2016</w:t>
      </w:r>
    </w:p>
    <w:p>
      <w:r>
        <w:t>FR: TF 6B_1256/2016 du 21 février 2018</w:t>
      </w:r>
    </w:p>
    <w:p>
      <w:r>
        <w:t>IT: TF 6B_1256/2016 del 21 febbraio 2018</w:t>
      </w:r>
    </w:p>
    <w:p>
      <w:pPr>
        <w:pStyle w:val="Heading2"/>
      </w:pPr>
      <w:r>
        <w:t>Erwägungen</w:t>
      </w:r>
    </w:p>
    <w:p>
      <w:r>
        <w:rPr>
          <w:b/>
        </w:rPr>
        <w:t>E. 1.1</w:t>
      </w:r>
    </w:p>
    <w:p>
      <w:r>
        <w:t>Le recourant ne remet en question ni les faits qui lui sont imputés ni la qualification juridique de voies de fait qualifiées au sens de l' art. 126 CP ainsi que de violation du devoir d'assistance ou d'éducation au sens de l' art. 219 CP . Il conteste en revanche le concours entre ces deux infractions retenu par la cour cantonale.</w:t>
      </w:r>
    </w:p>
    <w:p>
      <w:r>
        <w:rPr>
          <w:b/>
        </w:rPr>
        <w:t>E. 1.2</w:t>
      </w:r>
    </w:p>
    <w:p>
      <w:r>
        <w:t>Selon l' art. 49 al. 1 CP si, en raison d'un ou de plusieurs actes, l'auteur encourt plusieurs peines privatives de liberté, le juge le condamne à la peine de l'infraction la plus grave et en augmente la durée d'après les circonstances. Il y a concours idéal, lorsque, par un seul acte ou un ensemble d'actes formant un tout, l'auteur enfreint plusieurs dispositions pénales différentes, dont aucune ne saisit l'acte délictueux sous tous ses aspects. Pour déterminer s'il y a concours idéal entre deux infractions ou si, au contraire, l'une d'elles absorbe l'autre, il convient de déterminer si les biens juridiques protégés par chacune d'elles se recouvrent. S'ils ne se recouvrent pas ou pas entièrement, aucune des deux infractions ne saisit le comportement de l'auteur sous tous ses aspects, de sorte que toutes deux doivent être retenues ( ATF 133 IV 297 consid. 4.1 et 4.2 p. 300 ss).</w:t>
      </w:r>
    </w:p>
    <w:p>
      <w:r>
        <w:t>L' 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 ATF 126 IV 136 consid. 1b p. 138). L'infraction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p. 138 s.).</w:t>
      </w:r>
    </w:p>
    <w:p>
      <w:r>
        <w:t>Les voies de fait, réprimées par l' art. 126 CP , se définissent comme des atteintes physiques qui excèdent ce qui est socialement toléré et qui ne causent ni lésions corporelles, ni dommages à la santé. Le bien protégé par cette disposition est l'intégrité physique et mentale.</w:t>
      </w:r>
    </w:p>
    <w:p>
      <w:r>
        <w:rPr>
          <w:b/>
        </w:rPr>
        <w:t>E. 1.3</w:t>
      </w:r>
    </w:p>
    <w:p>
      <w:r>
        <w:t>Le Tribunal fédéral a déjà admis la possibilité d'un concours entre les art. 123 CP (lésions corporelles simples) et 219 CP. Il a relevé que les biens juridiquement protégés par les art. 123 et 219 CP , soit l'intégrité physique et mentale d'une part et le développement physique ou psychique d'autre part, sont très proches. Néanmoins, le fait de porter atteinte à l'intégrité physique d'un enfant ne menace pas forcément son développement, d'autant moins s'il s'agit d'actes isolés. En revanche, la maltraitance d'un enfant d'une certaine durée et d'une certaine intensité porte non seulement atteinte à son intégrité physique et mentale mais également à son développement physique ou psychique: Le Tribunal fédéral en a ainsi conclu que les art. 123 et 219 CP doivent être appliqués en concours (arrêts 6S.736/2000 du 28 novembre 2000 consid. 1; 6S.859/2000 du 2 février 2001 consid. 4c/bb; 6B_498/2008 du 18 août 2008 consid. 3.3).</w:t>
      </w:r>
    </w:p>
    <w:p>
      <w:r>
        <w:rPr>
          <w:b/>
        </w:rPr>
        <w:t>E. 1.4</w:t>
      </w:r>
    </w:p>
    <w:p>
      <w:r>
        <w:t>Le bien protégé par les art. 123 et 126 CP étant similaire, ce raisonnement peut être repris dans le cas d'espèce. Les mauvais traitements régulièrement infligés par le recourant à sa fille B.X.________ consistant d'une part à lui asséner des gifles et des coups répétés n'ayant pas laissé de marques et d'autre part à la tyranniser et à la terroriser par exemple en la faisant assister à des scènes au cours desquelles sa soeur aînée était violemment battue ont constitué à la fois des atteintes physiques et ont mis en cause son développement physique et psychique puisque les actes de son père ont induit chez elle du stress et des difficultés scolaires. C'est donc sans violer le droit fédéral que la cour cantonale a retenu un concours entre les voies de fait qualifiées et la violation du devoir d'assistance ou d'éducation imputées au recourant.</w:t>
      </w:r>
    </w:p>
    <w:p>
      <w:r>
        <w:rPr>
          <w:b/>
        </w:rPr>
        <w:t>E. 2</w:t>
      </w:r>
    </w:p>
    <w:p>
      <w:r>
        <w:t>Le recourant se plaint d'une violation des art. 42 et 43 CP . Il soutient que c'est un sursis complet qui doit lui être accordé.</w:t>
      </w:r>
    </w:p>
    <w:p>
      <w:r>
        <w:rPr>
          <w:b/>
        </w:rPr>
        <w:t>E. 2.1</w:t>
      </w:r>
    </w:p>
    <w:p>
      <w:r>
        <w:t>Conformément à l' art. 42 al. 1 CP , le juge suspend en règle générale l'exécution d'une peine privative de liberté de six mois au moins et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134 IV 1 consid. 5.3.1 p. 10).</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t>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2.2</w:t>
      </w:r>
    </w:p>
    <w:p>
      <w:r>
        <w:t>Le recourant reproche à la cour cantonale d'avoir omis de prendre en considération ses déclarations selon lesquelles si la possibilité lui était offerte il ne se comporterait plus de la même manière, ainsi que le fait qu'il a respecté les décisions relatives aux relations personnelles avec sa fille cadette de même que les mesures préconisées par le Service de protection de la jeunesse. Il soutient par ailleurs qu'elle a méconnu le long délai d'épreuve et la règle de conduite qui assortissent le sursis.</w:t>
      </w:r>
    </w:p>
    <w:p>
      <w:r>
        <w:t>Contrairement à ce que soutient le recourant, la cour cantonale n'a pas ignoré les efforts qu'il a faits et qu'elle a expressément relevés. Elle a néanmoins estimé ne pas pouvoir accorder un plein sursis en raison du manque de prise de conscience de la gravité de ses actes.</w:t>
      </w:r>
    </w:p>
    <w:p>
      <w:r>
        <w:t>Il ressort des constatations de la cour cantonale, non valablement remises en cause par le recourant sous l'angle de l'arbitraire et qui lient le Tribunal fédéral ( art. 105 al. 1 LTF ), que le recourant a constamment nié ou minimisé les faits qui lui sont reprochés, cherchant plutôt à se poser en victime. La cour a exclu une prise de conscience. Il apparaît donc que le recourant n'a pas effectué la remise en question qui s'imposait. Dans ces conditions, c'est sans violer le droit fédéral que la cour cantonale a exclu un plein sursis. Elle n'a pas abusé de son large pouvoir d'appréciation en considérant que les perspectives d'amendement étaient douteuses et que ce pronostic mitigé justifiait le prononcé d'un sursis partiel.</w:t>
      </w:r>
    </w:p>
    <w:p>
      <w:r>
        <w:rPr>
          <w:b/>
        </w:rPr>
        <w:t>E. 3</w:t>
      </w:r>
    </w:p>
    <w:p>
      <w:r>
        <w:t>Le recourant se plaint d'une violation de l' art. 428 al. 1 CPP , en relation avec les art. 136 ss CPP , au motif que l'indemnité en faveur du conseil de ses filles pour la procédure d'appel a été mise à sa charge alors qu'elle devait selon lui être laissée à la charge de l'Etat. A titre subsidiaire, il soutient que le montant alloué est excessif.</w:t>
      </w:r>
    </w:p>
    <w:p>
      <w:r>
        <w:t>Au vu de la déclaration d'appel et de la motivation y relative, il n'apparaît pas que le recourant ait entendu mettre en cause les prétentions civiles allouées aux intimées en première instance. Dès lors que l'assistance judiciaire pour une partie plaignante se justifie en priorité pour défendre ses prétentions civiles (cf. art. 136 CPP ), on ne perçoit pas, faute de motivation dans le jugement attaqué, à quel titre le recourant devrait assumer les frais y afférents. Sur ce point le recours doit être admis.</w:t>
      </w:r>
    </w:p>
    <w:p>
      <w:r>
        <w:rPr>
          <w:b/>
        </w:rPr>
        <w:t>E. 4</w:t>
      </w:r>
    </w:p>
    <w:p>
      <w:r>
        <w:t>Le recours doit être partiellement admis. Dans la mesure où le point sur lequel le recours est admis concerne une question procédurale relative aux frais, il peut être procédé au renvoi sans ordonner préalablement un échange d'écritures (cf. ATF 133 IV 293 consid. 3.4.2), étant ici précisé que le principe de l'indemnité allouée au conseil juridique des parties plaignantes (cf. jugement attaqué, ch. IV du dispositif) n'est pas remis en cause.</w:t>
      </w:r>
    </w:p>
    <w:p>
      <w:r>
        <w:t>Le recourant, qui n'obtient gain de cause que sur un point annexe, doit supporter une partie des frais de la cause (art. 65 al. 2 et 66 al. 1 LTF). Il peut prétendre à des dépens réduits à la charge de l'Etat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