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6B_1256/2015 vom 26. Januar 2016</w:t>
      </w:r>
    </w:p>
    <w:p>
      <w:r>
        <w:t>Bundesgericht, 2016-01-26, FR</w:t>
      </w:r>
    </w:p>
    <w:p>
      <w:r>
        <w:rPr>
          <w:b/>
        </w:rPr>
        <w:t xml:space="preserve">Quelle: </w:t>
      </w:r>
      <w:r>
        <w:t>https://mcp.opencaselaw.ch/entscheid/bger_6B_1256_2015</w:t>
      </w:r>
    </w:p>
    <w:p>
      <w:r>
        <w:t>FR: TF 6B_1256/2015 du 26 janvier 2016</w:t>
      </w:r>
    </w:p>
    <w:p>
      <w:r>
        <w:t>IT: TF 6B_1256/2015 del 26 gennaio 2016</w:t>
      </w:r>
    </w:p>
    <w:p>
      <w:pPr>
        <w:pStyle w:val="Heading2"/>
      </w:pPr>
      <w:r>
        <w:t>Erwägungen</w:t>
      </w:r>
    </w:p>
    <w:p>
      <w:r>
        <w:rPr>
          <w:b/>
        </w:rPr>
        <w:t>E. 1</w:t>
      </w:r>
    </w:p>
    <w:p>
      <w:r>
        <w:t>Par ordonnance rendue le 2 juin 2015 dans la procédure P/4632/2013, le Ministère public de la République et canton de Genève a classé les poursuites conduites à l'encontre de deux gendarmes en congé et trois agents de sécurité d'un établissement public pour lésions corporelles simples et abus d'autorité supposés commis au détriment de X.________, ainsi que celles ouvertes contre celui-ci pour dénonciation calomnieuse. En revanche, il a maintenu contre ce dernier, la prévention de lésions corporelles simples pour avoir asséné un coup de poing à l'un des deux gendarmes. Le 2 novembre 2015, la Chambre pénale de recours de la Cour de justice genevoise a rejeté le recours de X.________ contre le classement partiel. Le prénommé interjette un recours en matière pénale au Tribunal fédéral contre l'arrêt cantonal. Dans ce cadre, il requiert le bénéfice de l'assistance judiciaire et l'octroi de l'effet suspensif.</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l'occurrence, le recourant expose que compte tenu de la fracture subie au niveau du sinus frontal gauche, il entend faire valoir des conclusions civiles, notamment en réparation du tort moral ainsi subi (cf. recours ch. 5). Il précise qu'à ce stade de la procédure, il n'est pas encore en mesure de chiffrer de manière définitive l'ampleur de son dommage et, se référant à l' art. 123 al. 2 CPP , ajoute que le calcul et la motivation des conclusions civiles doivent être présentées au plus tard durant les plaidoiries (cf. recours ch. 8). Compte tenu des lésions invoquées, l'on ne voit pas ce qui l'empêche de chiffrer ses prétentions plus de deux années après les faits survenus dans la nuit du 16 au 17 mars 2013. Ses conclusions civiles se résument ainsi à une déclaration d'intention qui ne suffit pas pour lui ouvrir la voie du recours en matière pénale au Tribunal fédéral, étant précisé que la procédure devant ce dernier est régie par la LTF et non par le CPP. Cela étant, le recourant ne consacre aucun développement suffisant sur la question des prétentions civiles dans son mémoire de recours au Tribunal fédéral. Ce défaut exclut sa qualité pour recourir sur le fond de la cause.</w:t>
      </w:r>
    </w:p>
    <w:p>
      <w:r>
        <w:rPr>
          <w:b/>
        </w:rPr>
        <w:t>E. 2.2</w:t>
      </w:r>
    </w:p>
    <w:p>
      <w:r>
        <w:t>L'hypothèse visée à l'art. 81 al. 1 let. b ch. 6 LTF n'entre pas en considération, la contestation ne portant pas sur le droit de porter plainte du recourant.</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ce qui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Comme les conclusions du recours étaient dépourvues de chances de succès, l'assistance judiciaire ne peut être accordée ( art. 64 al. 1 LTF ). Le recourant, qui succombe, supporte les frais judiciaires ( art. 66 al. 1 LTF ), réduits pour tenir compte de sa situation financière qui n'apparaît pas favorable.</w:t>
      </w:r>
    </w:p>
    <w:p>
      <w:r>
        <w:rPr>
          <w:b/>
        </w:rPr>
        <w:t>E. 4</w:t>
      </w:r>
    </w:p>
    <w:p>
      <w:r>
        <w:t>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