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6B_1255/2018 vom 22. Januar 2019</w:t>
      </w:r>
    </w:p>
    <w:p>
      <w:r>
        <w:t>Bundesgericht, 2019-01-22, FR</w:t>
      </w:r>
    </w:p>
    <w:p>
      <w:r>
        <w:rPr>
          <w:b/>
        </w:rPr>
        <w:t xml:space="preserve">Quelle: </w:t>
      </w:r>
      <w:r>
        <w:t>https://mcp.opencaselaw.ch/entscheid/bger_6B_1255_2018</w:t>
      </w:r>
    </w:p>
    <w:p>
      <w:r>
        <w:t>FR: TF 6B_1255/2018 du 22 janvier 2019</w:t>
      </w:r>
    </w:p>
    <w:p>
      <w:r>
        <w:t>IT: TF 6B_1255/2018 del 22 gennaio 2019</w:t>
      </w:r>
    </w:p>
    <w:p>
      <w:pPr>
        <w:pStyle w:val="Heading2"/>
      </w:pPr>
      <w:r>
        <w:t>Erwägungen</w:t>
      </w:r>
    </w:p>
    <w:p>
      <w:r>
        <w:rPr>
          <w:b/>
        </w:rPr>
        <w:t>E. 1</w:t>
      </w:r>
    </w:p>
    <w:p>
      <w:r>
        <w:t>Le recourant fait grief à la cour cantonale d'avoir violé l' art. 146 al. 1 CP en acquittant l'intimée s'agissant des sommes perçues sur son compte ouvert auprès de la banque A.________.</w:t>
      </w:r>
    </w:p>
    <w:p>
      <w:r>
        <w:rPr>
          <w:b/>
        </w:rPr>
        <w:t>E. 1.1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6B_392/2016 du 10 novembre 2016 consid. 2.1.2; 6B_117/2015 du 11 février 2016 consid. 23.2 et les références citées).</w:t>
      </w:r>
    </w:p>
    <w:p>
      <w:r>
        <w:t>L'infraction d'escroquerie se commet en principe par une action. Tel est le cas lorsqu'elle est perpétrée par actes concluants (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w:t>
      </w:r>
    </w:p>
    <w:p>
      <w:r>
        <w:rPr>
          <w:b/>
        </w:rPr>
        <w:t>E. 1.2</w:t>
      </w:r>
    </w:p>
    <w:p>
      <w:r>
        <w:t>La cour cantonale a exposé que l'intimée avait, entre le 29 juin 2009 et décembre 2013, perçu des salaires, des indemnités de l'assurance-chômage, des pensions alimentaires et autres revenus. Versées sur son compte ouvert auprès de la banque A.________, ces sommes représentaient un montant total de 7'405 fr. 95. Selon l'autorité précédente, dès lors que le compte en question avait été annoncé au CSR, les services sociaux pouvaient aisément avoir connaissance des revenus concernés en consultant les relevés bancaires. Il aurait été loisible à l'autorité administrative de demander à l'intimée la production de ces extraits de compte. Pour la cour cantonale, il s'agissait de vérifications élémentaires que l'on pouvait attendre du CSR au vu des circonstances, de sorte qu'il n'y avait pas eu tromperie astucieuse.</w:t>
      </w:r>
    </w:p>
    <w:p>
      <w:r>
        <w:rPr>
          <w:b/>
        </w:rPr>
        <w:t>E. 1.3</w:t>
      </w:r>
    </w:p>
    <w:p>
      <w:r>
        <w:t>Le recourant relève que l'intimée ne s'est pas seulement abstenue de signaler aux services sociaux les revenus versés sur le compte ouvert auprès de la banque A.________, mais qu'elle a en outre renvoyé au CSR les formulaires mensuels, sur lesquels elle n'a pas annoncé lesdits revenus dans les rubriques idoines.</w:t>
      </w:r>
    </w:p>
    <w:p>
      <w:r>
        <w:t>Le dossier cantonal comprend en effet divers formulaires, complétés par l'intimée durant les périodes où les sommes litigieuses ont été versées sur le compte bancaire concerné ( art. 105 al. 2 LTF ; pièce 5/4/7 du dossier cantonal). L'existence de ces documents avait d'ailleurs été prise en compte par le tribunal de première instance (cf. jugement du 16 mai 2018, p. 18). On ne comprend pas, à la lecture du jugement attaqué, si et de quelle manière les formulaires en question ont été considérés par la cour cantonale. On ne saisit pas davantage quelles "circonstances" auraient dû pousser le CSR à procéder à des vérifications particulières s'agissant du compte bancaire que possédait l'intimée auprès de la banque A.________.</w:t>
      </w:r>
    </w:p>
    <w:p>
      <w:r>
        <w:t>Ainsi, l'état de fait de l'autorité précédente ne permet pas de comprendre si et dans quelle mesure l'intimée a pu adopter un comportement non seulement passif, mais aussi actif en ne répondant pas - ou pas de manière conforme à la vérité - aux questions qui lui ont été posées par les services sociaux concernant sa situation économique au fil des mois. On rappellera, à cet égard, que le Tribunal fédéral a déjà eu l'occasion de confirmer - dans une affaire vaudoise - que le prévenu qui perçoit l'aide sociale et, mois après mois, remplit et signe les formules du CSR en s'abstenant de signaler des revenus, adopte un comportement actif (cf. arrêt 6B_117/2015 du 11 février 2016 consid. 23.3.2).</w:t>
      </w:r>
    </w:p>
    <w:p>
      <w:r>
        <w:t>Le recours doit donc être admis sur ce point, le jugement attaqué annulé et la cause renvoyée à l'autorité cantonale afin que celle-ci complète son état de fait. Il lui appartiendra de déterminer si et dans quelle mesure l'intimée a pu s'abstenir d'annoncer des revenus sur les formulaires qui lui étaient adressés par le CSR à l'époque des faits, ainsi que de définir quelles circonstances auraient pu amener les services sociaux à procéder à des vérifications particulières concernant le compte bancaire de l'intéressée ( art. 112 al. 3 LTF ). Il appartiendra ensuite à l'autorité cantonale, le cas échéant, d'examiner si l'intéressée a, s'agissant des revenus litigieux, pu réaliser tous les éléments constitutifs de l'escroquerie, aspect sur lequel la cour cantonale ne s'est pas prononcée.</w:t>
      </w:r>
    </w:p>
    <w:p>
      <w:r>
        <w:rPr>
          <w:b/>
        </w:rPr>
        <w:t>E. 2</w:t>
      </w:r>
    </w:p>
    <w:p>
      <w:r>
        <w:t>Dès lors qu'il appartiendra à l'autorité cantonale de compléter son état de fait relatif à l'infraction d'escroquerie puis, le cas échéant, d'examiner à nouveau si cette infraction a pu être commise en raison des événements litigieux (cf. consid. 1.3 supra), le grief du recourant portant sur une éventuelle violation de son droit d'être entendu en raison de l'acquittement partiel de l'intimée devient sans objet.</w:t>
      </w:r>
    </w:p>
    <w:p>
      <w:r>
        <w:rPr>
          <w:b/>
        </w:rPr>
        <w:t>E. 3</w:t>
      </w:r>
    </w:p>
    <w:p>
      <w:r>
        <w:t>Compte tenu de ce qui précède, le recours doit être admis, le jugement attaqué annulé et la cause renvoyée à l'autorité cantonale pour nouvelle décision. Il peut être statué sans frais.</w:t>
      </w:r>
    </w:p>
    <w:p>
      <w:r>
        <w:t>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