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6B_1251/2018 vom 5. Dezember 2018</w:t>
      </w:r>
    </w:p>
    <w:p>
      <w:r>
        <w:t>Bundesgericht, 2018-12-05, FR</w:t>
      </w:r>
    </w:p>
    <w:p>
      <w:r>
        <w:rPr>
          <w:b/>
        </w:rPr>
        <w:t xml:space="preserve">Quelle: </w:t>
      </w:r>
      <w:r>
        <w:t>https://mcp.opencaselaw.ch/entscheid/bger_6B_1251_2018</w:t>
      </w:r>
    </w:p>
    <w:p>
      <w:r>
        <w:t>FR: TF 6B_1251/2018 du 5 décembre 2018</w:t>
      </w:r>
    </w:p>
    <w:p>
      <w:r>
        <w:t>IT: TF 6B_1251/2018 del 5 dicembre 2018</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t>Les mêmes exigences sont requises à l'égard de celui qui se plaint d'infractions attentatoires à l'honneur.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6B_875/2018 du 15 novembre 2018 consid. 1 et les références citées).</w:t>
      </w:r>
    </w:p>
    <w:p>
      <w:r>
        <w:rPr>
          <w:b/>
        </w:rPr>
        <w:t>E. 1.2</w:t>
      </w:r>
    </w:p>
    <w:p>
      <w:r>
        <w:t>En l'espèce, la recourante ne dit mot concernant les éventuelles prétentions civiles qu'elle pourrait faire valoir.</w:t>
      </w:r>
    </w:p>
    <w:p>
      <w:r>
        <w:t>Pour autant que la recourante entende élever des prétentions civiles à l'encontre de magistrats vaudois, il convient de préciser que la loi vaudoise sur la responsabilité de l'Etat, des communes et de leurs agents (LRECA/VD; RS/VD 170.11), institue une responsabilité directe de l'Etat, exclusive de celle des agents (art. 5). Le canton de Vaud ayant fait usage de la faculté réservée à l' art. 61 al. 1 CO , la recourante ne disposerait, dans cette hypothèse, que d'une prétention de droit public à faire valoir non pas contre le ou les auteurs présumés, mais contre l'Etat. Quoi qu'il en soit, la recourante n'aborde aucunement cette problématique.</w:t>
      </w:r>
    </w:p>
    <w:p>
      <w:r>
        <w:t>Enfin, dans la mesure où la recourante conclut à ce qu'il lui soit donné acte de ses réserves civiles, elle ne fait pas valoir des prétentions civiles au sens de l'art. 81 al. 1 let. b ch. 5 LTF (cf. arrêt 6B_165/2018 du 30 mai 2018 consid. 3 et les références citées).</w:t>
      </w:r>
    </w:p>
    <w:p>
      <w:r>
        <w:t>Compte tenu de ce qui précède, à défaut d'explications suffisantes, la recourante ne démontre pas en quoi l'arrêt attaqué pourrait avoir des effets sur le jugement de ses prétentions civiles. Elle n'a donc pas la qualité pour recourir sur le fond de la cause au sens de l'art. 81 al. 1 let. b ch. 5 LTF.</w:t>
      </w:r>
    </w:p>
    <w:p>
      <w:r>
        <w:rPr>
          <w:b/>
        </w:rPr>
        <w:t>E. 1.3</w:t>
      </w:r>
    </w:p>
    <w:p>
      <w:r>
        <w:t>Selon l'art. 81 al. 1 let. b ch. 6 LTF, le plaignant a qualité pour former un recours en matière pénale pour autant que la contestation porte sur le droit de porter plainte. L'hypothèse envisagée par cette disposition n'entre toutefois pas en considération, dès lors que la recourante ne soulève aucun grief à cet égard.</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En l'occurrence, la recourante ne formule aucun grief, répondant aux exigences de motivation découlant des art. 42 al. 2 et 106 al. 2 LTF, concernant une éventuelle violation de ses droits de partie et susceptible d'être séparé du fond.</w:t>
      </w:r>
    </w:p>
    <w:p>
      <w:r>
        <w:t>Elle indique, dans son mémoire de recours, que la composition de la cour cantonale aurait posé "un problème de conflits d'intérêts" en raison de l'appartenance de ses membres et de ceux de la Cour civile vaudoise au Tribunal cantonal, sans toutefois prendre une conclusion ou présenter un grief motivé à satisfaction sur ce point. Cette argumentation est ainsi irrecevable.</w:t>
      </w:r>
    </w:p>
    <w:p>
      <w:r>
        <w:rPr>
          <w:b/>
        </w:rPr>
        <w:t>E. 2</w:t>
      </w:r>
    </w:p>
    <w:p>
      <w:r>
        <w:t>Partant, le recours est manifestement irrecevable, ce qu'il convient de constater dans la procédure prévue par l' art. 108 al. 1 let. a et b LTF . Comme il était dénué de chances de succès, la demande d'assistance judiciaire doit être rejetée ( art. 64 al. 1 LTF ). La recourante, qui succombe, supporte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