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6B_124/2020 vom 1. Mai 2020</w:t>
      </w:r>
    </w:p>
    <w:p>
      <w:r>
        <w:t>Bundesgericht, 2020-05-01, FR</w:t>
      </w:r>
    </w:p>
    <w:p>
      <w:r>
        <w:rPr>
          <w:b/>
        </w:rPr>
        <w:t xml:space="preserve">Quelle: </w:t>
      </w:r>
      <w:r>
        <w:t>https://mcp.opencaselaw.ch/entscheid/bger_6B_124_2020</w:t>
      </w:r>
    </w:p>
    <w:p>
      <w:r>
        <w:t>FR: TF 6B_124/2020 du 1 mai 2020</w:t>
      </w:r>
    </w:p>
    <w:p>
      <w:r>
        <w:t>IT: TF 6B_124/2020 del 1 maggio 2020</w:t>
      </w:r>
    </w:p>
    <w:p>
      <w:pPr>
        <w:pStyle w:val="Heading2"/>
      </w:pPr>
      <w:r>
        <w:t>Erwägungen</w:t>
      </w:r>
    </w:p>
    <w:p>
      <w:r>
        <w:rPr>
          <w:b/>
        </w:rPr>
        <w:t>E. 1</w:t>
      </w:r>
    </w:p>
    <w:p>
      <w:r>
        <w:t>Le recourant fait valoir que la cour cantonale a établi les faits de manière manifestement inexacte sur plusieurs points.</w:t>
      </w:r>
    </w:p>
    <w:p>
      <w:r>
        <w:rPr>
          <w:b/>
        </w:rPr>
        <w:t>E. 1.1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w:t>
      </w:r>
    </w:p>
    <w:p>
      <w:r>
        <w:t>Lorsque l'appréciation des preuves et la constatation des faits sont critiquées en référence à la présomption d'innocence ( art. 6 par. 2 CEDH , 32 al. 1 Cst. et 10 CPP), le principe " in dubio pro reo " n'a pas de portée plus large que l'interdiction de l'arbitraire ( ATF 144 IV 345 consid. 2.2.3.3 p. 351 s.; 143 IV 500 consid. 1.1 p. 503).</w:t>
      </w:r>
    </w:p>
    <w:p>
      <w:r>
        <w:rPr>
          <w:b/>
        </w:rPr>
        <w:t>E. 1.2</w:t>
      </w:r>
    </w:p>
    <w:p>
      <w:r>
        <w:t>Le recourant fait valoir que la cour cantonale a versé dans l'arbitraire en retenant qu'il avait eu conscience de pénétrer sans droit dans le logement de son ex-compagne (cf. consid. B.b).</w:t>
      </w:r>
    </w:p>
    <w:p>
      <w:r>
        <w:t>La cour cantonale a constaté que le recourant avait conscience de pénétrer sans droit dans le logement de l'intimée pour deux motifs. En premier lieu, elle a relevé que la séparation d'avec son ex-compagne lui avait été clairement signifiée, que les serrures avaient été changées et qu'il avait forcé la porte d'accès au logement depuis le garage. Elle s'est fondée en outre sur les messages échangés entre les anciens concubins entre les 9 et 12 mars 2017.</w:t>
      </w:r>
    </w:p>
    <w:p>
      <w:r>
        <w:t>Le raisonnement de la cour cantonale est convaincant. Le recourant n'a pu que se rendre compte qu'il n'était pas autorisé à pénétrer dans le logement de son ex-compagne, lorsqu'il a dû forcer la porte pour y entrer. L'argumentation du recourant, qui consiste à faire valoir que l'intimée l'avait implicitement autorisé à venir récupérer ses effets personnels le dimanche 12 mars 2017 et qu'il se croyait légitimé à pénétrer dans le logement, est purement appellatoire et, partant, irrecevable.</w:t>
      </w:r>
    </w:p>
    <w:p>
      <w:r>
        <w:rPr>
          <w:b/>
        </w:rPr>
        <w:t>E. 1.3</w:t>
      </w:r>
    </w:p>
    <w:p>
      <w:r>
        <w:t>Le recourant soutient que la cour cantonale est tombée dans l'arbitraire en retenant que l'intimée avait été effrayée par ses messages (cf. consid. B.c).</w:t>
      </w:r>
    </w:p>
    <w:p>
      <w:r>
        <w:t>La cour cantonale a admis que l'intimée avait été alarmée par les menaces du recourant, en se fondant sur plusieurs éléments de fait. Elle a ainsi relevé que l'intimée avait quitté son domicile pendant quelques jours, qu'elle avait fait installer un système de vidéosurveillance dans son logement et qu'elle s'était équipée d'un spray au poivre. En outre, les juges cantonaux ont précisé que, entendue aux débats d'appel, l'intimée avait confirmé avoir été effrayée par les messages de son ex-compagnon.</w:t>
      </w:r>
    </w:p>
    <w:p>
      <w:r>
        <w:t>La motivation développée par la cour cantonale ne prête pas le flanc à la critique. Il n'y a en effet pas lieu de mettre en cause les déclarations de l'intimée. Le recourant se borne à faire valoir que, lors de son audition par la police le 13 mars 2017, l'intimée n'a porté plainte pénale que pour violation de domicile, mais non pour menaces et qu'elle a quitté son domicile et mis en place des caméras dans son appartement parce qu'elle avait reçu une gifle de son ex-compagnon, et non en raison de ses messages; il ajoute qu'il est peu crédible qu'elle se soit équipée d'un spray au poivre après avoir reçu ses messages. Purement appellatoire, cette argumentation est irrecevable.</w:t>
      </w:r>
    </w:p>
    <w:p>
      <w:r>
        <w:rPr>
          <w:b/>
        </w:rPr>
        <w:t>E. 1.4</w:t>
      </w:r>
    </w:p>
    <w:p>
      <w:r>
        <w:t>Le recourant soutient que la cour cantonale a retenu arbitrairement qu'il était décidé d'imposer à sa victime des relations sexuelles contre son gré (consid. B.d).</w:t>
      </w:r>
    </w:p>
    <w:p>
      <w:r>
        <w:t>La cour cantonale a constaté que le recourant avait fait savoir à l'intimée qu'il voulait entretenir immédiatement des relations sexuelles avec elle, en lui ordonnant, sous la menace d'un couteau, d'aller se doucher pour qu'il puisse ensuite la « baiser »; il lui avait préalablement pris son téléphone cellulaire et fait savoir qu'il avait engagé des personnes pour s'en prendre à ses enfants s'il devait lui arriver quelque chose.</w:t>
      </w:r>
    </w:p>
    <w:p>
      <w:r>
        <w:t>De la sorte, la cour cantonale explique de manière convaincante que le recourant avait décidé de contraindre sa victime à l'acte sexuel et qu'il avait créé une situation de contrainte pour ce faire. Dans son argumentation, le recourant se contente d'exposer qu'il a juste ordonné à sa victime d'aller se doucher, mais qu'aucun élément du dossier ne permet d'établir qu'il avait l'intention de la contraindre à l'acte sexuel. Il explique que, après avoir été aspergé par le spray au poivre, il s'est trouvé aux côtés de l'intimée, muni d'un couteau, mais qu'il n'a entrepris aucun acte concret pour faire subir l'acte sexuel à l'intimée, mais qu'il l'a au contraire lâchée et a quitté les lieux de sa propre initiative. Cette argumentation est purement appellatoire et donc irrecevable.</w:t>
      </w:r>
    </w:p>
    <w:p>
      <w:r>
        <w:rPr>
          <w:b/>
        </w:rPr>
        <w:t>E. 1.5</w:t>
      </w:r>
    </w:p>
    <w:p>
      <w:r>
        <w:t>Le recourant reproche à la cour cantonale d'avoir constaté de manière arbitraire qu'il avait étranglé l'intimée et avait mis concrètement sa vie en danger (consid. B.d).</w:t>
      </w:r>
    </w:p>
    <w:p>
      <w:r>
        <w:rPr>
          <w:b/>
        </w:rPr>
        <w:t>E. 1.5.1</w:t>
      </w:r>
    </w:p>
    <w:p>
      <w:r>
        <w:t>La cour cantonale a retenu que le recourant avait volontairement obstrué de sa main gauche les voies respiratoires de sa victime, qui s'était sentie perdre connaissance en raison du manque d'oxygène. Elle a également constaté que, dans le même temps, il avait dangereusement approché le couteau qu'il tenait dans sa main droite du corps de l'intimée qui, pour éviter d'être poignardée, avait saisi fortement la lame du couteau et s'était débattue, parvenant ainsi à libérer sa bouche de la main du recourant.</w:t>
      </w:r>
    </w:p>
    <w:p>
      <w:r>
        <w:rPr>
          <w:b/>
        </w:rPr>
        <w:t>E. 1.5.2</w:t>
      </w:r>
    </w:p>
    <w:p>
      <w:r>
        <w:t>Se fondant sur le rapport du CURML, au moment de l'admission de l'intimée aux urgences, le recourant fait valoir que les médecins ont constaté chez l'intimée de « légers troubles de déglutition », ainsi qu' « un oedème du cou, sans traces de doigts visibles » (cf. pièce 127); les médecins concluaient que, d'un point de vue médico-légal, ces constats n'étaient aucunement constitutifs d'une mise en danger concrète de la vie. Le recourant mentionne en outre que les déclarations de l'intimée étaient variables quant à son degré de suffocation; ce n'est que le 14 décembre 2017 qu'elle aurait soudainement déclaré qu'elle ne pouvait plus du tout respirer et qu'elle avait perdu connaissance.</w:t>
      </w:r>
    </w:p>
    <w:p>
      <w:r>
        <w:t>La cour cantonale n'a pas méconnu le contenu du rapport du CURML. Elle a estimé que, même si ce rapport concluait à l'absence, d'un point de vue médico-légal, d'arguments amenant à retenir une mise en danger concrète de la vie de la victime, ces considérations n'étaient pas pertinentes pour apprécier la réalisation de l'infraction de mise en danger de la vie d'autrui, sur le plan juridique, la notion étant plus large que sur le plan médico-légal. Elle a considéré que la position adoptée par le recourant et corroborée par les lésions constatées sur la victime suffisait à réaliser l'infraction de mise en danger, précisant que la jurisprudence n'exigeait pas que la victime ait subi des lésions sérieuses ou qu'elle ait effectivement perdu connaissance (jugement attaqué p. 34). Le recourant ne remet pas en cause ces circonstances. Savoir si, au vu de celles-ci, la strangulation revêt une intensité suffisante pour créer un danger de mort relève de l'application de l' art. 129 CP , dont le recourant ne dénonce pas la violation. Ses griefs sont donc infondés.</w:t>
      </w:r>
    </w:p>
    <w:p>
      <w:r>
        <w:rPr>
          <w:b/>
        </w:rPr>
        <w:t>E. 1.5.3</w:t>
      </w:r>
    </w:p>
    <w:p>
      <w:r>
        <w:t>S'agissant de l'usage du couteau, le recourant relève qu'il tenait le couteau parallèlement au corps de la victime, la lame tournée vers le haut (pièce 62), et non à proximité des organes vitaux, dans la région du cou et du coeur de l'intimée.</w:t>
      </w:r>
    </w:p>
    <w:p>
      <w:r>
        <w:t>La cour cantonale a retenu que les protagonistes se sont battus à terre; le recourant se trouvait sur sa victime, l'étranglant avec la main gauche et tenant un couteau dans sa main droite; la victime a saisi le couteau et s'est débattue. Au vu de cet état de fait, il n'est pas arbitraire de retenir que le couteau s'est trouvé à proximité des organes vitaux, dans la région du coeur et que les mouvements de la victime et l'aveuglement de l'auteur en raison du spray au poivre rendaient très probable une blessure mortelle. L'argumentation du recourant, selon laquelle il aurait tenu le couteau parallèlement au corps de la victime, et non à proximité des organes vitaux, est appellatoire et donc irrecevable.</w:t>
      </w:r>
    </w:p>
    <w:p>
      <w:r>
        <w:rPr>
          <w:b/>
        </w:rPr>
        <w:t>E. 1.5.4</w:t>
      </w:r>
    </w:p>
    <w:p>
      <w:r>
        <w:t>En relation avec l'absence de scrupules, le recourant expose qu'il n'est pas établi qu'il s'est trouvé dans un état d'acharnement et de rage et qu'il était animé par un sentiment de vengeance. Cette argumentation est purement appellatoire et, partant, irrecevable.</w:t>
      </w:r>
    </w:p>
    <w:p>
      <w:r>
        <w:rPr>
          <w:b/>
        </w:rPr>
        <w:t>E. 1.6</w:t>
      </w:r>
    </w:p>
    <w:p>
      <w:r>
        <w:t>Le recourant fait valoir que la cour cantonale a versé dans l'arbitraire en retenant qu'il avait eu la volonté de causer à l'intimée des lésions corporelles graves (consid. B.d).</w:t>
      </w:r>
    </w:p>
    <w:p>
      <w:r>
        <w:t>La cour cantonale a retenu qu'après avoir été sprayé au visage et avoir hurlé qu'il allait la tuer, le recourant s'était jeté sur sa victime, brandissant à proximité de son visage et de sa gorge un couteau et entravant de sa main des voies respiratoires. Pour se défendre contre son agresseur, la victime a alors saisi la lame du couteau. Bien que conscient du fait que sa victime s'agrippait à cette lame pour se protéger, le recourant n'a pas relâché son emprise sur le manche du couteau, mais, au contraire, il l'a tenu fermement; il l'a finalement extirpé des mains de celle-ci, en tirant vers le haut. Au vu de ces faits, la cour cantonale a retenu que le recourant avait voulu ou, à tout le moins accepté, de causer à l'intimée des lésions corporelles graves.</w:t>
      </w:r>
    </w:p>
    <w:p>
      <w:r>
        <w:t>Le raisonnement de la cour cantonale ne prête pas le flanc à la critique. En effet, il n'est pas arbitraire de retenir que le recourant s'est accommodé de causer à la victime des lésions corporelles graves lorsqu'il a maintenu son emprise sur le manche du couteau et l'a finalement tiré vers le haut, alors que la victime tenait la lame. Le recourant, qui ne discute pas la gravité des lésions subies par la victime, soutient que c'est l'intimée qui s'est agrippée à la lame du couteau et qui n'a pas voulu lâcher prise, lui-même n'adoptant aucun comportement actif. Purement appellatoire, cette argumentation est irrecevable.</w:t>
      </w:r>
    </w:p>
    <w:p>
      <w:r>
        <w:rPr>
          <w:b/>
        </w:rPr>
        <w:t>E. 1.7</w:t>
      </w:r>
    </w:p>
    <w:p>
      <w:r>
        <w:t>Le recourant conteste sa condamnation pour insoumission à une décision de l'autorité. Il reproche à la cour cantonale d'avoir arbitrairement omis de tenir compte des faits qu'il a relatés lors de son audition du 12 mars 2018 (cf. consid. B.e).</w:t>
      </w:r>
    </w:p>
    <w:p>
      <w:r>
        <w:t>La cour cantonale a retenu que le recourant avait été vu une première fois par l'intimée au volant de son véhicule le 16 janvier 2018 à la hauteur du n° xxx de la route G.________, à E.________, et une seconde fois le 7 février 2018 à la route de E.________, à G.________. Elle a constaté que le recourant avait admis que cette route traversait le périmètre fixé par la justice civile et que des itinéraires alternatifs existaient (PV n° 1, p. 2-3, dossier B). Le recourant avait en outre demandé au juge civil de réduire ce périmètre à 200 mètres, ce qui lui a été refusé par décision du 13 mars 2019.</w:t>
      </w:r>
    </w:p>
    <w:p>
      <w:r>
        <w:t>Au vu de ces faits, la cour cantonale n'a pas versé dans l'arbitraire en retenant qu'en pénétrant dans le périmètre qui lui était interdit, le recourant avait voulu violer l'interdiction qui lui avait été signifiée ou, à tout le moins, qu'il s'en était accommodé. C'est en vain que le recourant soutient qu'il s'est cru légitimé d'emprunter le chemin litigieux pour aller au travail car, lors de l'audience du 18 avril 2017, tout le monde avait déclaré que le croisement et une partie dudit chemin se trouvaient en dehors des 300 mètres. Purement appellatoire, cette argumentation est irrecevable.</w:t>
      </w:r>
    </w:p>
    <w:p>
      <w:r>
        <w:rPr>
          <w:b/>
        </w:rPr>
        <w:t>E. 2</w:t>
      </w:r>
    </w:p>
    <w:p>
      <w:r>
        <w:t>Le recourant se plaint de la sévérité de la peine qui lui a été infligée. Il reproche à la cour cantonale de ne pas avoir suffisamment tenu compte des facteurs susceptibles d'atténuer sa peine, notamment sa diminution de responsabilité, son profond désarroi et le repentir sincère qu'il aurait manifesté.</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2.2</w:t>
      </w:r>
    </w:p>
    <w:p>
      <w:r>
        <w:t>Le recourant reproche à la cour cantonale de ne pas avoir tenu compte de sa légère diminution de responsabilité.</w:t>
      </w:r>
    </w:p>
    <w:p>
      <w:r>
        <w:rPr>
          <w:b/>
        </w:rPr>
        <w:t>E. 2.2.1</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arrêt 6B_1177/2018 du 9 janvier 2019 consid. 2.2).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 arrêt 6B_1177/2018 précité).</w:t>
      </w:r>
    </w:p>
    <w:p>
      <w:r>
        <w:rPr>
          <w:b/>
        </w:rPr>
        <w:t>E. 2.2.2</w:t>
      </w:r>
    </w:p>
    <w:p>
      <w:r>
        <w:t>La cour cantonale a tenu compte de la diminution de la responsabilité du recourant qu'elle a qualifiée de légère au regard de l'expertise. Elle a en conséquence retenu que la culpabilité du recourant était lourde au lieu de très lourde. Compte tenu de cette légère diminution de responsabilité, elle a fixé à deux ans la peine privative de liberté sanctionnant l'infraction de mise en danger. De la sorte, elle a respecté les exigences posées par la jurisprudence en matière de fixation de la peine. Les reproches du recourant sont infondés.</w:t>
      </w:r>
    </w:p>
    <w:p>
      <w:r>
        <w:rPr>
          <w:b/>
        </w:rPr>
        <w:t>E. 2.3</w:t>
      </w:r>
    </w:p>
    <w:p>
      <w:r>
        <w:t>Le recourant conteste ne pas avoir entrepris de suivi psychiatrique de gestion des émotions, tel que recommandé par les experts.</w:t>
      </w:r>
    </w:p>
    <w:p>
      <w:r>
        <w:t>La cour cantonale a retenu que le recourant avait suivi seize séances entre les mois d'août 2017 et de mars 2019 auprès d'une amie « coach » autodidacte. Elle a exposé que, lors de ses séances, le recourant s'était plus focalisé sur les sentiments d'injustice, de trahison et d'abandon dont il se sentait lui-même victime que sur l'agression commise et sa gestion de la violence. Un tel traitement ne correspondait pas au traitement ordonné par le juge de première instance à titre de règle de conduite, qui consistait en un traitement de la gestion de la violence auprès du Centre de prévention de D.________, dans le cadre de son programme thérapeutique " Intégrale ", ou auprès d'un autre organisme reconnu offrant des prestations équivalentes, ou auprès d'un psychiatre spécialisé en la matière. Le grief soulevé est donc infondé.</w:t>
      </w:r>
    </w:p>
    <w:p>
      <w:r>
        <w:rPr>
          <w:b/>
        </w:rPr>
        <w:t>E. 2.4</w:t>
      </w:r>
    </w:p>
    <w:p>
      <w:r>
        <w:t>Le recourant fait grief à la cour cantonale de ne pas avoir retenu la circonstance atténuante du profond désarroi et du repentir sincère.</w:t>
      </w:r>
    </w:p>
    <w:p>
      <w:r>
        <w:rPr>
          <w:b/>
        </w:rPr>
        <w:t>E. 2.4.1</w:t>
      </w:r>
    </w:p>
    <w:p>
      <w:r>
        <w:t>L' art. 48 CP prévoit que le juge doit atténuer la peine lorsque l'une ou l'autre des circonstances évoquées dans cette disposition est réunie. Parmi celles-ci figurent un état de profond désarroi (let. c) et un repentir sincère (let. d).</w:t>
      </w:r>
    </w:p>
    <w:p>
      <w:r>
        <w:t>Le profond désarroi vise un état d'émotion qui mûrit progressivement pendant une longue période, qui couve pendant longtemps jusqu'à ce que l'auteur soit complètement désespéré et ne voie d'autre issue que d'agir ainsi qu'il le fait ( ATF 119 IV 202 consid. 2a p. 204; 118 IV 233 consid. 2a p. 236). Il doit être rendu excusable par les circonstances ( ATF 119 IV 203 consid. 2a; 118 IV 233 consid. 2a p. 236). Le plus souvent, il est rendu excusable par le comportement blâmable de la victime à l'égard de l'auteur, mais il peut aussi l'être par le comportement d'un tiers ou par des circonstances objectives ( ATF 119 IV 202 consid. 2a p. 205; arrêt 6B_533/2019 du 3 juillet 2019 consid. 4.4.1).</w:t>
      </w:r>
    </w:p>
    <w:p>
      <w:r>
        <w:t>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arrêts 6B_1054/2019 du 27 janvier 2020 consid. 1.1; 6B_422/2019 du 5 juin 2019 consid. 6.1; 6B_1368/2016 du 15 novembre 2017 consid. 5.1 non publié aux ATF 143 IV 469 et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6B_1054/2019 du 27 janvier 2020 consid. 1.1; 6B_719/2019 du 23 septembre 2019 consid. 2.2; 6B_1368/2016 du 15 novembre 2017 consid. 5.1 non publié aux ATF 143 IV 469 ; 6B_289/2016 du 28 décembre 2016 consid. 3.2.1 et 6B_874/2015 du 27 juin 2016 consid. 3.1). Savoir si le geste du prévenu dénote un esprit de repentir ou repose sur des considérations tactiques est une question d'appréciation des faits (cf. arrêts 6B_1054/2019 du 27 janvier 2020 consid. 1.1; 6B_719/2019 du 23 septembre 2019 consid. 2.2; 6B_1368/2016 du 15 novembre 2017 consid. 5.1 non publié aux ATF 143 IV 469 et 6B_339/2014 du 27 novembre 2014 consid. 2.1 non publié aux ATF 140 IV 145 ). Les constatations des autorités cantonales sur ce point lient en principe le Tribunal fédéral ( art. 105 al. 1 LTF ).</w:t>
      </w:r>
    </w:p>
    <w:p>
      <w:r>
        <w:rPr>
          <w:b/>
        </w:rPr>
        <w:t>E. 2.4.2</w:t>
      </w:r>
    </w:p>
    <w:p>
      <w:r>
        <w:t>Le recourant fait valoir qu'il a agi dans un état de profond désarroi. Il soutient que les circonstances extérieures, à savoir la séparation d'avec son ex-compagne et surtout les rapports très instables et conflictuels entre les ex-concubins sont à l'origine des infractions qui lui sont reprochées. La cour cantonale n'a pas nié que le recourant pouvait avoir été totalement désespéré et que la séparation des ex-concubins était très conflictuelle, mais elle a considéré que cet éventuel état de désarroi n'était pas excusable. En effet, la victime n'avait eu aucun comportement blâmable. Elle avait signifié au recourant leur séparation après avoir reçu une gifle de sa part. Il était pour le surplus compréhensible au vu des circonstances de la rupture qu'elle ait demandé l'expulsion du recourant de son logement et qu'elle en ait fait changer les serrures. La cour cantonale en a conclu que l'agression perpétrée par le recourant était la conséquence d'une vengeance froide et préméditée de la part d'un homme blessé dans son amour propre. Dans ces circonstances, la cour cantonale n'a pas violé le droit fédéral en retenant que les conditions du profond désarroi n'étaient pas réalisées. Le grief soulevé doit être rejeté.</w:t>
      </w:r>
    </w:p>
    <w:p>
      <w:r>
        <w:t>Le recourant estime qu'il devrait bénéficier de la circonstance atténuante du repentir sincère au motif qu'il aurait admis partiellement les faits lors de la reconstitution qui a eu lieu au mois de mai 2017 et qu'il s'était sincèrement repenti les larmes aux yeux. Il fait valoir qu'il a présenté ses excuses et formulé ses regrets tant aux débats de première instance que d'appel. La cour cantonale n'a pas méconnu que le recourant avait partiellement admis les faits. Elle a toutefois observé qu'avant d'admettre partiellement les faits, il les avait tout d'abord totalement contestés, tentant de jeter le discrédit sur l'intimée en la faisant passer pour une affabulatrice; il avait même tenté depuis sa cellule de piéger sa victime en vue d'en tirer avantage dans la procédure. Elle a considéré que les regrets formulés étaient tardifs et n'avaient pas l'intensité du repentir sincère, mais revêtaient bien plutôt une portée tactique, dès lors qu'ils n'étaient suivi par aucun engagement concret impliquant des sacrifices. Au vu de ces constatations de fait, dont le recourant ne démontre pas l'arbitraire, la cour cantonale a refusé à juste titre de retenir la circonstance atténuante du repentir sincère. Les griefs du recourant sont donc infondés.</w:t>
      </w:r>
    </w:p>
    <w:p>
      <w:r>
        <w:rPr>
          <w:b/>
        </w:rPr>
        <w:t>E. 3</w:t>
      </w:r>
    </w:p>
    <w:p>
      <w:r>
        <w:t>Le recourant reproche à la cour cantonale d'avoir ordonné son expulsion du territoire suisse. Il ne conteste pas avoir été condamné pour des infractions qui tombent sous le coup de l' art. 66a al. 1 CP , mais se prévaut de la clause de rigueur ( art. 66a al. 2 CP ) ainsi que de l' art. 8 CEDH .</w:t>
      </w:r>
    </w:p>
    <w:p>
      <w:r>
        <w:rPr>
          <w:b/>
        </w:rPr>
        <w:t>E. 3.1</w:t>
      </w:r>
    </w:p>
    <w:p>
      <w:r>
        <w:t>Aux termes de l' art. 66a al. 1 CP , le juge expulse de Suisse l'étranger qui est condamné pour lésions corporelles graves (let. b), mise en danger de la vie d'autrui (let. b), séquestration et enlèvement (let. g) ou tentative de viol (let. h), quelle que soit la quotité de la peine prononcée à son encontre, pour une durée de cinq à quinze ans. Le recourant remplit donc les conditions d'une expulsion, sous la réserve d'une application de l' art. 66a al. 2 CP , voire également des normes de droit international.</w:t>
      </w:r>
    </w:p>
    <w:p>
      <w:r>
        <w:rPr>
          <w:b/>
        </w:rPr>
        <w:t>E. 3.2.1</w:t>
      </w:r>
    </w:p>
    <w:p>
      <w:r>
        <w:t>Conformément à l' art. 66a al. 2 CP , le juge peut exceptionnellement renoncer à l'expulsion à la condition, d'une part, que cette mesure mette l'étranger dans une situation personnelle grave (première condition cumulative) et, d'autre part, que les intérêts publics à l'expulsion ne l'emportent pas sur l'intérêt privé de l'étranger à demeurer en Suisse (deuxième condition cumulative). Les conditions posées par cette disposition sont cumulatives ( ATF 144 IV 332 consid. 3.3 p. 339).</w:t>
      </w:r>
    </w:p>
    <w:p>
      <w:r>
        <w:t>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6B_1421/2019 du 12 février 2020 consid. 1.3; 6B_1024/2019 du 29 janvier 2020 consid. 1.3.2; 6B_1299/2019 du 28 janvier 2020 consid. 3.3).</w:t>
      </w:r>
    </w:p>
    <w:p>
      <w:r>
        <w:rPr>
          <w:b/>
        </w:rPr>
        <w:t>E. 3.2.2</w:t>
      </w:r>
    </w:p>
    <w:p>
      <w:r>
        <w:t>L'art. 8 § 1 CEDH dispose que toute personne a en particulier droit au respect de sa vie privée et familiale.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Les relations familiales visées par l'art. 8 § 1 CEDH sont avant tout celles qui concernent la famille dite nucléaire, soit celles qui existent entre époux ainsi qu'entre parents et enfants mineurs vivant en ménage commun (cf. ATF 144 II 1 consid. 6.1 p. 12; 135 I 143 consid. 1.3.2 p. 146). La CourEDH a cependant admis dans un certain nombre d'affaires concernant de jeunes adultes qui n'avaient pas encore fondé leur propre famille que leurs liens avec leurs parents et d'autres membres de leur famille proche s'analysaient également en une " vie familiale " (arrêt de la CourEDH</w:t>
      </w:r>
    </w:p>
    <w:p>
      <w:r>
        <w:t>Maslov c. Autriche du 23 juin 2008, requête n° 1638/03, § 62 et les références citées; Gonin/Bigler, Convention européenne des droits de l'homme (CEDH), Commentaire des articles 1 à 18 CEDH, 2018, n° 80; références citées dans l'arrêt 6B_925/2019 du 16 octobre 2019 consid. 1.3).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 6B_143/2019 du 6 mars 2019 consid. 3.3.2 et les références citées).</w:t>
      </w:r>
    </w:p>
    <w:p>
      <w:r>
        <w:t>Pour se prévaloir du respect au droit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6B_1421/2019 précité consid. 1.3.1). Un séjour légal de dix années suppose en principe une bonne intégration de l'étranger ( ATF 144 I 266 consid. 3.9 p. 277 s.).</w:t>
      </w:r>
    </w:p>
    <w:p>
      <w:r>
        <w:rPr>
          <w:b/>
        </w:rPr>
        <w:t>E. 3.3.1</w:t>
      </w:r>
    </w:p>
    <w:p>
      <w:r>
        <w:t>La cour cantonale n'a pas mis en cause la bonne intégration sociale et professionnelle du recourant en Suisse, mais a considéré que son expulsion du territoire helvétique, quand bien même elle le mettrait dans une situation difficile, ne le placerait pas dans une situation personnelle suffisamment grave pour que l'application de la clause de rigueur prévue à l' art. 66a al. 2 CP puisse être envisagée. En effet, rien ne permettait de présumer que le recourant rencontrerait des difficultés à se réinsérer socialement et professionnellement dans son pays d'origine, dont il parle couramment la langue et où il a vécu la moitié de sa vie, où il a étudié et travaillé, et où il dispose de solides attaches familiales; par ailleurs, sa relation avec son fils ne suffisait pas pour renoncer à son expulsion, dès lors que celui-ci était majeur et qu'il ne vivait pas avec lui.</w:t>
      </w:r>
    </w:p>
    <w:p>
      <w:r>
        <w:t>Par surabondance, la cour cantonale a considéré que, même si le recourant pouvait se prévaloir d'un droit découlant de l'art. 8 § 1 CEDH sous l'angle du droit au respect de sa vie privée et familiale, l'intérêt public présidant à son expulsion l'emporterait sur son intérêt privé à demeurer en Suisse, notamment au vu de l'extrême gravité et de la violence des actes commis et compte tenu du risque de récidive.</w:t>
      </w:r>
    </w:p>
    <w:p>
      <w:r>
        <w:rPr>
          <w:b/>
        </w:rPr>
        <w:t>E. 3.3.2</w:t>
      </w:r>
    </w:p>
    <w:p>
      <w:r>
        <w:t>Le recourant conteste l'appréciation faite par la cour cantonale. Il insiste sur le fait qu'il a passé la majorité de sa vie d'adulte (23 ans) en Suisse, qu'il s'y est intégré professionnellement et qu'il y a construit sa vie familiale. Vu la situation économique et sociale au Portugal, il ne serait pas en mesure de trouver un emploi tel qu'il exerce en Suisse et se retrouverait dans une situation financière catastrophique, qui l'empêcherait de subvenir aux besoins de son fils et de réparer le tort moral subi par la plaignante. Il fait valoir que son renvoi dans son pays natal qu'il a quitté à l'âge de 23 ans constitue une ingérence dans le respect de sa vie privée et familiale, droit garanti par l' art. 8 CEDH . Enfin, il relève que les experts ont qualifié de faible le risque de récidive.</w:t>
      </w:r>
    </w:p>
    <w:p>
      <w:r>
        <w:rPr>
          <w:b/>
        </w:rPr>
        <w:t>E. 3.4</w:t>
      </w:r>
    </w:p>
    <w:p>
      <w:r>
        <w:t>Il convient de déterminer si l'intérêt privé du recourant à demeurer en Suisse pourrait l'emporter sur les intérêts public présidant à son expulsion. Cet examen implique en particulier de déterminer si la mesure litigieuse respecte le principe de la proportionnalité découlant des art. 5 al. 2 Cst. et 8 § 2 CEDH (cf. arrêts 6B_1045/2019 du 18 octobre 2019 consid. 1.3.2; 6B_2/2019 du 27 septembre 2019 consid. 7.1). La question de savoir si l'expulsion pourrait placer le recourant dans une situation personnelle grave - en particulier au regard de son droit au respect de sa vie privée et familiale au sens de l' art. 8 CEDH - peut rester indécise, dans la mesure où l'expulsion peut de toute manière être confirmée au regard de l'art. 8 § 2 CEDH (cf. consid. 3.4.1).</w:t>
      </w:r>
    </w:p>
    <w:p>
      <w:r>
        <w:rPr>
          <w:b/>
        </w:rPr>
        <w:t>E. 3.4.1</w:t>
      </w:r>
    </w:p>
    <w:p>
      <w:r>
        <w:t>En l'espèce, le recourant est né et a grandi au Portugal, pays dans lequel il a suivi sa scolarité et effectué ses études et dans lequel il a même créé, avec succès, une société dans le domaine des cosmétiques. A l'âge de 23 ans, le recourant a émigré en Suisse, où vivait son père (décédé en 2016) et cinq de ses six frères et soeurs. Sur le plan sentimental, il a épousé en 2000 une ressortissante suisse, avec laquelle il a eu un fils. Il s'est séparé de sa femme en 2012. Agé aujourd'hui de 19 ans, son fils est en deuxième année d'apprentissage et vit avec sa mère. Le recourant a une nouvelle amie depuis 2018, avec laquelle il ne fait toutefois pas logement commun. Sur le plan professionnel, il travaille en qualité de conseiller en prévoyance professionnelle pour la société H.________ SA depuis 2015 pour un revenu mensuel net de 10'800 fr. hors bonus, et rembourse actuellement son employeur du salaire que celui-ci lui a versé pendant sa période de détention provisoire sous la forme d'une retenue de salaire de 1'200 fr. par mois. Il contribue en outre à l'entretien de son fils et de son épouse par le versement d'une pension de 2'600 francs.</w:t>
      </w:r>
    </w:p>
    <w:p>
      <w:r>
        <w:t>Les intérêts présidant à l'expulsion du recourant sont importants, dès lors que celui-ci a commis des actes extrêmement graves et d'une rare violence. La cour cantonale a retenu qu'il avait fait vivre un véritable calvaire à la femme qui avait été sa concubine pendant plusieurs années au prétexte futile d'avoir le dernier mot dans le cadre de leur rupture. La peine privative de liberté à laquelle il a été condamné dépasse largement une année, ce qui aurait, cas échéant, pu permettre une révocation de son autorisation de séjour sur la base de l' art. 62 al. 1 let. b LEI (cf. ATF 139 I 145 consid. 2.1 p. 147, selon lequel constitue une « peine privative de liberté de longue durée » au sens de l'art. 62 al. 1 let. B LEtr [depuis le 1er janvier 2019 : LEI] toute peine dépassant un an d'emprisonnement). Enfin, bien que considéré par les experts comme faible, le risque de récidive d'actes de même nature dans une situation similaire n'est pas inexistant, ce d'autant plus que le recourant n'a pas pris conscience de la gravité de ses actes.</w:t>
      </w:r>
    </w:p>
    <w:p>
      <w:r>
        <w:t>Concernant l'intérêt du recourant à rester en Suisse, il convient de relever que celui-ci y est établi depuis 23 ans et qu'il y a un travail bien rémunéré, lui permettant de soutenir la formation de son fils. Sa réintégration peut toutefois aussi se faire au Portugal. Le recourant parle parfaitement le portugais dont c'est la langue maternelle. Il a effectué ses études au Portugal et y avait même fondé une société avant de venir en Suisse. Le recourant fait valoir que la situation économique et sociale est difficile au Portugal et qu'il se retrouvera dans une situation catastrophique. On peut certes concéder au recourant que la situation économique du Portugal est moins bonne que celle de la Suisse; lorsqu'il soutient qu'il ne trouvera pas d'emploi au Portugal, son argumentation est toutefois purement appellatoire et donc irrecevable. Sur le plan personnel, le recourant a conservé des attaches au Portugal. Il y retourne souvent en vacances et y a encore de la famille, dont notamment sa mère et l'une de ses soeurs, ce qui est de nature à faciliter encore la réintégration du recourant dans ce pays. Les liens familiaux qu'il a encore dans notre pays sont en revanche relativement restreints, puisqu'il est séparé de sa femme et que son fils est majeur et ne vit pas avec lui.</w:t>
      </w:r>
    </w:p>
    <w:p>
      <w:r>
        <w:rPr>
          <w:b/>
        </w:rPr>
        <w:t>E. 3.4.2</w:t>
      </w:r>
    </w:p>
    <w:p>
      <w:r>
        <w:t>Compte tenu de la gravité des infractions commises, du risque de récidive d'actes violents et des perspectives de réintégration au Portugal, l'intérêt public à l'expulsion du recourant l'emporte sur son intérêt privé à demeurer en Suisse. L'expulsion, ordonnée pour une durée de dix ans, s'avère conforme au principe de la proportionnalité découlant des art. 5 al. 2 Cst. et 8 § 2 CEDH , étant précisé que le recourant n'élève aucun grief à l'encontre de la durée de la mesure. La seconde condition pour l'application de l' art. 66 al. 2 CP n'étant pas réalisée, la cour cantonale n'a pas violé le droit fédéral en ordonnant l'expulsion du recourant.</w:t>
      </w:r>
    </w:p>
    <w:p>
      <w:r>
        <w:rPr>
          <w:b/>
        </w:rPr>
        <w:t>E. 4</w:t>
      </w:r>
    </w:p>
    <w:p>
      <w:r>
        <w:t>Le recours doit être rejeté dans la mesure où il est recevable. Le recourant qui succombe doit supporter les frais judiciaires ( art. 66 al. 1 LTF ). Il n'y a pas lieu d'allouer d'indemnité aux intimées qui n'ont pas été invitées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