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124/2017 vom 27. Oktober 2017</w:t>
      </w:r>
    </w:p>
    <w:p>
      <w:r>
        <w:t>Bundesgericht, 2017-10-27, FR</w:t>
      </w:r>
    </w:p>
    <w:p>
      <w:r>
        <w:rPr>
          <w:b/>
        </w:rPr>
        <w:t xml:space="preserve">Quelle: </w:t>
      </w:r>
      <w:r>
        <w:t>https://mcp.opencaselaw.ch/entscheid/bger_6B_124_2017</w:t>
      </w:r>
    </w:p>
    <w:p>
      <w:r>
        <w:t>FR: TF 6B 124/2017 du 27 octobre 2017</w:t>
      </w:r>
    </w:p>
    <w:p>
      <w:r>
        <w:t>IT: TF 6B 124/2017 del 27 ottobre 2017</w:t>
      </w:r>
    </w:p>
    <w:p>
      <w:pPr>
        <w:pStyle w:val="Heading2"/>
      </w:pPr>
      <w:r>
        <w:t>Regeste</w:t>
      </w:r>
    </w:p>
    <w:p>
      <w:r>
        <w:t>Tentative de contrainte | Infractions</w:t>
      </w:r>
    </w:p>
    <w:p>
      <w:pPr>
        <w:pStyle w:val="Heading2"/>
      </w:pPr>
      <w:r>
        <w:t>Erwägungen</w:t>
      </w:r>
    </w:p>
    <w:p>
      <w:r>
        <w:rPr>
          <w:b/>
        </w:rPr>
        <w:t>E. 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encore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Aux termes de l' art. 106 al. 2 LTF , le Tribunal fédéral n'examine la violation des droits fondamentaux ainsi que celles de dispositions de droit cantonal et intercantonal que si ce grief a été invoqué et motivé par les recourants. Il n'entre pas en matière sur les critiques de nature appellatoire ( ATF 142 III 364 consid. 2.4 p. 368).</w:t>
      </w:r>
    </w:p>
    <w:p>
      <w:r>
        <w:rPr>
          <w:b/>
        </w:rPr>
        <w:t>E. 2</w:t>
      </w:r>
    </w:p>
    <w:p>
      <w:r>
        <w:t>Le recourant conteste sa condamnation pour tentative de contrainte, en revenant d'une part sur le caractère illicite du moyen de pression utilisé (cf. infra consid. 2.3) et d'autre part sur la perception, par l'intimé, des menaces proférées (cf. infra consid. 2.4).</w:t>
      </w:r>
    </w:p>
    <w:p>
      <w:r>
        <w:rPr>
          <w:b/>
        </w:rPr>
        <w:t>E. 2.1</w:t>
      </w:r>
    </w:p>
    <w:p>
      <w:r>
        <w:t>Se rend coupable de contrainte selon l' 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 ATF 101 IV 42 consid. 3a p. 44),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 ATF 122 IV 322 consid. 1a p. 325; 120 IV 17 consid. 2a/aa p. 19).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137 IV 326 consid. 3.3.1 p. 328).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s.; 137 IV 326 consid. 3.3.1 p. 328; 134 IV 216 consid. 4.1 p. 218).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 art. 181 CP .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 ATF 120 IV 17 consid. 2a/bb p. 20; 115 IV 207 consid. 2b/cc p. 214). A l'instar du dépôt d'une plainte pénale, la notification d'un commandement de payer est licite lorsqu'on est fondé à réclamer une somme. En revanche, utiliser un tel procédé comme moyen de pression est clairement abusif, donc illicite (cf. ATF 115 III 18 consid. 3 p. 20; arrêt 6B_8/2017 du 15 août 2017 consid. 2.1). Lorsque la victime ne se laisse pas intimider et n'adopte pas le comportement voulu par l'auteur, ce dernier est punissable de tentative de contrainte ( art. 22 al. 1 CP ;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 ATF 120 IV 17 consid. 2c p. 22).</w:t>
      </w:r>
    </w:p>
    <w:p>
      <w:r>
        <w:rPr>
          <w:b/>
        </w:rPr>
        <w:t>E. 2.2</w:t>
      </w:r>
    </w:p>
    <w:p>
      <w:r>
        <w:t>La cour cantonale a retenu que le recourant avait formulé son intention de faire intervenir le MROS ou la FINMA en vue d'un blocage des comptes de l'intimé et de ses sociétés alors même qu'il savait qu'aucun motif de dénonciation fondé sur des soupçons de blanchiment d'argent n'existait. Ce procédé était illicite en tant qu'il ne constituait pas un moyen de pression acceptable dans le cadre de relations commerciales. Même si l'intimé n'avait pas suffisamment été alarmé pour céder à la menace et renoncer à sa créance, la menace devait objectivement être qualifiée de grave, dès lors qu'un blocage des comptes aurait lourdement entravé les activités des sociétés de l'intimé. Sur le plan subjectif, le recourant avait admis qu'il entendait augmenter la pression sur l'intimé et savait, étant rompu aux affaires, que les procédures dont il menaçait l'intimé n'avaient aucun lien avec l'objet de leur litige. En conséquence, il ne pouvait pas ignorer que le fait d'utiliser la menace d'une telle dénonciation était illicite.</w:t>
      </w:r>
    </w:p>
    <w:p>
      <w:r>
        <w:rPr>
          <w:b/>
        </w:rPr>
        <w:t>E. 2.3</w:t>
      </w:r>
    </w:p>
    <w:p>
      <w:r>
        <w:t>Le recourant conteste avoir agi de manière illicite. Il soutient qu'il avait des raisons fondées de présumer que l'intimé s'adonnait à des opérations financières frauduleuses, notamment en matière de blanchiment d'argent. A cet égard, il se prévaut du fait qu'au jour de l'entretien entre les parties, soit en février 2013, l'instruction pénale menée par le Ministère public central du canton de Vaud était toujours en cours, le classement n'ayant été prononcé qu'en mai 2014, après la mise en oeuvre de nombreuses mesures d'instruction dans l'intervalle. La plainte ayant donné lieu à cette procédure aurait eu justement pour objectif de démontrer l'existence d'opérations financières frauduleuses. Le recourant fait encore référence à une instruction qui aurait été menée par le Ministère public du canton de Zurich (affaire G.________), dans le cadre de laquelle une société dont l'intimé était l'ayant-droit économique (H.________) aurait fait l'objet d'une dénonciation en juin 2013 auprès de la FINMA pour soupçons de blanchiment d'argent. En tant qu'il revient sur la légitimité de ses prétentions à l'égard de l'intimé ainsi que sur le contexte et les motifs du litige qui a donné lieu à la rencontre du 14 février 2013 (cf. supra consid. B.a), le recourant s'en prend à l'établissement des faits retenus par l'autorité précédente, sans exposer en quoi il serait empreint d'arbitraire. Ces développements sont appellatoires et partant irrecevables. Pour le surplus, la cour cantonale n'a vu aucun rapport entre le litige préexistant entre les parties et les moyens envisagés par le recourant susceptible de fonder la mise en oeuvre des mesures très contraignantes prévues par la législation sur la lutte contre le blanchiment d'argent et partant de justifier le caractère licite d'une telle démarche. Le recourant, qui avait admis avoir cherché à nuire à l'intimé, avait ainsi menacé de solliciter l'intervention du MROS et de la FINMA dans un but totalement étranger à ces institutions, à savoir de faire craindre à un partenaire commercial un dommage important par le blocage de ses comptes afin que ce dernier renonce au recouvrement d'une créance. Au demeurant, l'instruction pénale menée dans le canton de Vaud ne portait pas sur des faits relatifs à un blanchiment d'argent, mais sur les chefs d'accusation d'escroquerie, d'abus de confiance, de gestion déloyale et de manipulation de cours. Quant à celle qui aurait été instruite par le Ministère public du canton de Zurich (affaire G.________), elle ne paraît pas directement concerner l'intimé - qui affirme ne pas être impliqué dans ce dossier (cf. procès-verbal d'audition du 25 juin 2013, p. 9 l. 314 ss.) -, l'article de presse évoqué par le recourant ne faisant pas expressément état de faits, ni même de soupçons, reconnus par l'intimé et pouvant fonder une violation à la loi sur le blanchiment d'argent commise par ce dernier ou ses sociétés (cf. dossier cantonal, P. 21). Un éventuel blocage des comptes n'était du reste pas susceptible de lui permettre d'atteindre son objectif, à savoir le renoncement de l'intimé au recouvrement de sa créance. Le recourant n'avait en effet aucun avantage à retirer d'un blocage des comptes, si ce n'est de lui permettre d'exercer un moyen de pression.</w:t>
      </w:r>
    </w:p>
    <w:p>
      <w:r>
        <w:rPr>
          <w:b/>
        </w:rPr>
        <w:t>E. 2.4</w:t>
      </w:r>
    </w:p>
    <w:p>
      <w:r>
        <w:t>Le recourant conteste ensuite que l'intimé se soit effectivement senti menacé par son discours. Il soutient à cet égard que l'intimé savait avant même l'entretien que le recourant allait émettre des propos du type de ceux qu'il a tenus. L'intimé aurait consenti en toute connaissance de cause à le rencontrer dans le but de trouver une solution transactionnelle, tout en sachant qu'il procéderait vraisemblablement à des tractations ardues au vu des litiges les opposant. De surcroît, le fait que l'intimé se soit présenté au rendez-vous, sans l'assistance d'un conseil, dénoterait également qu'il se sentait à même de gérer seul cette discussion. Ce faisant, le recourant présente une nouvelle fois sa propre appréciation des preuves en s'écartant de l'état de fait retenu par l'autorité précédente. En l'absence de tout grief d'arbitraire dûment étayé, ses développements sont appellatoires et partant irrecevables dans le recours en matière pénale. A l'instar de l'appréciation de la cour cantonale, le fait que la discussion soit intervenue entre deux hommes d'affaires aguerris ne saurait annihiler tout effet à la menace proférée. Au contraire, l'intimé, en sa qualité d'homme d'affaires, était d'autant plus conscient des répercussions que pouvait avoir la mise en oeuvre des procédures dont le recourant le menaçait. Le but recherché par cette manoeuvre était clairement d'amener l'intimé à lui faire consentir un arrangement favorable sous la forme de l'abandon d'une importante créance. C'est ainsi sans violer le droit fédéral que la cour cantonale a considéré que la menace de dénoncer l'intimé au MROS et à la FINMA, dans le contexte dans le lequel elle a été proférée, était susceptible d'attenter à la liberté d'action de l'intimé.</w:t>
      </w:r>
    </w:p>
    <w:p>
      <w:r>
        <w:rPr>
          <w:b/>
        </w:rPr>
        <w:t>E. 3</w:t>
      </w:r>
    </w:p>
    <w:p>
      <w:r>
        <w:t>Au vu de ce qui précède, le recours doit être rejeté dans la mesure où il est 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