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6B_124/2012 vom 22. Juni 2012</w:t>
      </w:r>
    </w:p>
    <w:p>
      <w:r>
        <w:t>Bundesgericht, 2012-06-22, FR</w:t>
      </w:r>
    </w:p>
    <w:p>
      <w:r>
        <w:rPr>
          <w:b/>
        </w:rPr>
        <w:t xml:space="preserve">Quelle: </w:t>
      </w:r>
      <w:r>
        <w:t>https://mcp.opencaselaw.ch/entscheid/bger_6B_124_2012</w:t>
      </w:r>
    </w:p>
    <w:p>
      <w:r>
        <w:t>FR: TF 6B_124/2012 du 22 juin 2012</w:t>
      </w:r>
    </w:p>
    <w:p>
      <w:r>
        <w:t>IT: TF 6B_124/2012 del 22 giugno 2012</w:t>
      </w:r>
    </w:p>
    <w:p>
      <w:pPr>
        <w:pStyle w:val="Heading2"/>
      </w:pPr>
      <w:r>
        <w:t>Erwägungen</w:t>
      </w:r>
    </w:p>
    <w:p>
      <w:r>
        <w:rPr>
          <w:b/>
        </w:rPr>
        <w:t>E. 1</w:t>
      </w:r>
    </w:p>
    <w:p>
      <w:r>
        <w:t>Le recours en matière pénale est ouvert contre une décision fixant l'indemnité de l'avocat d'office pour une procédure pénale (cf. ATF 135 IV 43 consid. 1.1.1 p. 45 s.).</w:t>
      </w:r>
    </w:p>
    <w:p>
      <w:r>
        <w:rPr>
          <w:b/>
        </w:rPr>
        <w:t>E. 2.1</w:t>
      </w:r>
    </w:p>
    <w:p>
      <w:r>
        <w:t>L'indemnité accordée a été fixée sur la base de l'ancienne loi fribourgeoise sur l'assistance judiciaire (art. 24 aLAJ/FR), en vigueur jusqu'au 31 décembre 2010, et du règlement fribourgeois sur la justice (art. 57 RJ/FR), en vigueur dès le 1er janvier 2011. Le recourant ne conteste pas l'application de cette réglementation mais invoque une violation de son droit d'être entendu garanti par l' art. 29 al. 2 Cst. Il se réfère en particulier à l'arrêt 1P.85/2005 du 15 mars 2005. Il relève avoir présenté une liste de frais comme l'exigent les dispositions cantonales et se plaint de ce que l'autorité précédente a uniquement donné le nombre d'heures admissible par phases, soit celle de l'instruction, de première et de deuxième instance, sans dire quelles opérations n'étaient pas nécessaires à la défense du prévenu.</w:t>
      </w:r>
    </w:p>
    <w:p>
      <w:r>
        <w:rPr>
          <w:b/>
        </w:rPr>
        <w:t>E. 2.2</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134 I 83 consid. 4.1 p. 88; 133 III 439 consid. 3.3 p. 445).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consid. 2a; 93 I 116 consid.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5D_45/2009 du 26 juin 2009 consid. 3.1; 1P.85/2005 du 15 mars 2005 consid. 2 et les réf. cit.).</w:t>
      </w:r>
    </w:p>
    <w:p>
      <w:r>
        <w:rPr>
          <w:b/>
        </w:rPr>
        <w:t>E. 2.3</w:t>
      </w:r>
    </w:p>
    <w:p>
      <w:r>
        <w:t>Les deux derniers arrêts précités concernaient déjà des causes fribourgeoises et l'application de l'art. 24 aLAJ/FR, selon lequel l'Etat paie au défenseur d'office un montant équitable fixé, sur présentation de sa liste de frais, qui tient compte des circonstances de la cause et du nombre d'audiences. L'actuel art. 57 al. 2 RJ/FR, dont le contenu est cité dans l'arrêt attaqué (p. 3), prévoit quant à lui que l'indemnité horaire est de 180 fr. en cas de fixation sur la base d'une liste de frais. Il apparaît ainsi que la réglementation cantonale appliquée ne s'en tient pas à l'octroi d'une simple indemnité équitable fixée par le juge. Cela a pour conséquence de contraindre l'autorité judiciaire à prendre en compte la liste de frais présentée et à motiver au moins brièvement les postes sur lesquels elle n'entend pas confirmer les montants ou les durées y figurant (arrêts précités 5D_45/2009 consid. 3.1 in fine et 1P.85/2005 consid. 2.1 in fine).</w:t>
      </w:r>
    </w:p>
    <w:p>
      <w:r>
        <w:rPr>
          <w:b/>
        </w:rPr>
        <w:t>E. 2.4</w:t>
      </w:r>
    </w:p>
    <w:p>
      <w:r>
        <w:t>En l'espèce, la Cour d'appel a quelque peu réduit le montant des débours et des honoraires relatifs à l'activité du stagiaire du recourant, ce que ne conteste pas celui-ci. Elle a fixé le nombre d'heures admissible pour l'activité du recourant à 29 heures, réduisant ainsi d'environ 30 % le nombre d'heures annoncé dans la liste de frais. Elle a certes détaillé pour chaque phase de la procédure (5h pour l'instruction, 15h pour la première instance et 9h pour l'appel, soit 29h au total) le temps qu'elle estimait nécessaire à l'accomplissement de la défense d'office. Elle n'a néanmoins pas spécifié les postes de la liste de frais qu'elle jugeait superflus ou pour lesquels le nombre d'heures indiqué était surfait. En l'absence de ces indications, le recourant n'était pas en mesure de contester en connaissance de cause l'arrêt cantonal. La Cour d'appel a donc failli à son obligation de motiver les décisions fixant le montant de l'indemnité d'office, telle qu'elle découle de l' art. 29 al. 2 Cst. et de la jurisprudence précitée. La transmission au recourant postérieurement à l'arrêt attaqué des notes du juge rapporteur permet certes de cerner les opérations qui ont été jugées nécessaires à la défense des intérêts du prévenu. En revanche, dites notes ne fournissent aucune indication sur les raisons pour lesquelles d'autres postes de la liste de frais ont été écartés ou pourquoi certaines des opérations accomplies ont été tenues pour exagérées. L'arrêt attaqué doit par conséquent être annulé et la cause renvoyée à la cour cantonale pour qu'elle statue à nouveau. La présente solution et la motivation y relative rejoignent celles figurant dans les arrêts 5D_45/2009 et 1P.85/2005 précités, dont il n'y a pas lieu de se distancier.</w:t>
      </w:r>
    </w:p>
    <w:p>
      <w:r>
        <w:rPr>
          <w:b/>
        </w:rPr>
        <w:t>E. 3</w:t>
      </w:r>
    </w:p>
    <w:p>
      <w:r>
        <w:t>Il ne sera pas perçu de frais ( art. 66 al. 4 LTF ). Le recourant, même s'il a plaidé dans sa propre cause a droit, eu égard à l'objet du litige (cf. ATF 125 II 518 consid. 5b), à des dépens à la charge du canton de Fribourg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