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6B_1248/2020 vom 23. November 2020</w:t>
      </w:r>
    </w:p>
    <w:p>
      <w:r>
        <w:t>Bundesgericht, 2020-11-23, DE</w:t>
      </w:r>
    </w:p>
    <w:p>
      <w:r>
        <w:rPr>
          <w:b/>
        </w:rPr>
        <w:t xml:space="preserve">Quelle: </w:t>
      </w:r>
      <w:r>
        <w:t>https://mcp.opencaselaw.ch/entscheid/bger_6B_1248_2020</w:t>
      </w:r>
    </w:p>
    <w:p>
      <w:r>
        <w:t>FR: TF 6B_1248/2020 du 23 novembre 2020</w:t>
      </w:r>
    </w:p>
    <w:p>
      <w:r>
        <w:t>IT: TF 6B_1248/2020 del 23 novembre 2020</w:t>
      </w:r>
    </w:p>
    <w:p>
      <w:pPr>
        <w:pStyle w:val="Heading2"/>
      </w:pPr>
      <w:r>
        <w:t>Erwägungen</w:t>
      </w:r>
    </w:p>
    <w:p>
      <w:r>
        <w:rPr>
          <w:b/>
        </w:rPr>
        <w:t>E. 1</w:t>
      </w:r>
    </w:p>
    <w:p>
      <w:r>
        <w:t>Das Kantonsgericht Luzern trat auf eine Beschwerde am 14. September 2020 nicht ein, weil diese den Begründungsanforderungen gemäss Art. 385 Abs. 1 StPO nicht genügte. Von der Ansetzung einer Nachfrist zur Verbesserung der Beschwerde sah das Kantonsgericht ab. Art. 385 Abs. 2 StPO erlaube nicht, eine mangelhafte Beschwerdebegründung zu ergänzen.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rechtsgenüglich auseinander. Die Behauptung, sich vor Vorinstanz ausreichend mit der Nichtanhandnahmeverfügung befasst zu haben, genügt nicht. Die materielle Seite der Angelegenheit ist im Übrigen nicht Verfahrensgegenstand. Aus der Beschwerdeeingabe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