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1247/2023 vom 10. Juni 2024</w:t>
      </w:r>
    </w:p>
    <w:p>
      <w:r>
        <w:t>Bundesgericht, 2024-06-10, FR</w:t>
      </w:r>
    </w:p>
    <w:p>
      <w:r>
        <w:rPr>
          <w:b/>
        </w:rPr>
        <w:t xml:space="preserve">Quelle: </w:t>
      </w:r>
      <w:r>
        <w:t>https://mcp.opencaselaw.ch/entscheid/bger_6B_1247_2023</w:t>
      </w:r>
    </w:p>
    <w:p>
      <w:r>
        <w:t>FR: TF 6B 1247/2023 du 10 juin 2024</w:t>
      </w:r>
    </w:p>
    <w:p>
      <w:r>
        <w:t>IT: TF 6B 1247/2023 del 10 giugno 2024</w:t>
      </w:r>
    </w:p>
    <w:p>
      <w:pPr>
        <w:pStyle w:val="Heading2"/>
      </w:pPr>
      <w:r>
        <w:t>Regeste</w:t>
      </w:r>
    </w:p>
    <w:p>
      <w:r>
        <w:t>Actes d'ordre sexuel sur une personne incapable de discernement ou de résistance; expulsion; arbitraire; présomption d'innocence | Droit pénal (en général)</w:t>
      </w:r>
    </w:p>
    <w:p>
      <w:pPr>
        <w:pStyle w:val="Heading2"/>
      </w:pPr>
      <w:r>
        <w:t>Erwägungen</w:t>
      </w:r>
    </w:p>
    <w:p>
      <w:r>
        <w:rPr>
          <w:b/>
        </w:rPr>
        <w:t>E. 1</w:t>
      </w:r>
    </w:p>
    <w:p>
      <w:r>
        <w:t>Le recourant invoque l'inexploitabilité et le retranchement du dossier de son premier procès-verbal d'audition daté du 28 avril 2021 eu égard à l'absence de défense obligatoire ( art. 130 et 131 CPP ) alors que du cannabis et de l'éthanol (1,18 g%o) étaient présents dans le sang.</w:t>
      </w:r>
    </w:p>
    <w:p>
      <w:r>
        <w:rPr>
          <w:b/>
        </w:rPr>
        <w:t>E. 1.1</w:t>
      </w:r>
    </w:p>
    <w:p>
      <w:r>
        <w:t>Selon l' art. 130 CPP , le prévenu doit avoir un défenseur lorsqu'il encourt une peine privative de liberté de plus d'un an, une mesure entraînant une privation de liberté ou une expulsion (let. b) ou en raison de son état physique ou psychique ou pour d'autres motifs, il ne peut pas suffisamment défendre ses intérêts dans la procédure et ses représentants légaux ne sont pas en mesure de le faire (let. c). Aux termes de l'art. 131 aCPP (dans sa teneur en vigueur jusqu'au 31 décembre 2023 [RO 2023 468]),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1.2</w:t>
      </w:r>
    </w:p>
    <w:p>
      <w:r>
        <w:t>Le recourant soutient qu'il a été entendu une première fois par la police alors que son état ne le permettait pas. On comprend que le recourant invoque l' art. 130 let . c CPP. Il a été entendu la première fois par la police lors de la procédure préliminaire le 28 avril 2021 à 10h45 en qualité de prévenu. Son alcoolémie, qui s'élevait à 1,18 g o/oo à 10h28 et 10h34, n'impliquait aucune diminution de responsabilité ( ATF 122 IV 49 consid. 1b). En outre, lors de son examen une heure auparavant, les experts l'avait considéré comme calme et collaborant et en mesure de livrer les informations requises (cf. arrêt attaqué, p. 13). La cour cantonale a retenu que rien ne supposait une diminution de capacité de discernement (cf. arrêt attaqué, p. 17). Il n'apparaît ainsi pas que les conditions de l' art. 130 let . c CPP aient été données.</w:t>
      </w:r>
    </w:p>
    <w:p>
      <w:r>
        <w:rPr>
          <w:b/>
        </w:rPr>
        <w:t>E. 1.3</w:t>
      </w:r>
    </w:p>
    <w:p>
      <w:r>
        <w:t>Le recourant soutient que la gravité des faits reprochés était déjà établie lors de la première audition puisque la victime avait mentionné un viol lors de son appel à la police, qu'on était en présence d'une défense obligatoire et que pourtant on ne lui avait pas désigné d'avocat. On comprend que le recourant invoque l' art. 130 let. b CPP . Il ne ressort pas de l'arrêt attaqué que l'audition en question ait joué un rôle déterminant, d'ailleurs le recourant ne le prétend pas. En outre, le recourant semble ignorer que le CPP, dans sa version en vigueur jusqu'à décembre 2023, ne prévoyait pas de défense obligatoire lors du premier interrogatoire dans le cadre de l'investigation policière (c'est-à-dire avant l'ouverture de l'instruction pénale). La défense obligatoire ne commençait qu'après l'enquête préliminaire de la police (art. 131 al. 2 aCPP), même si celle-ci vise une infraction pour laquelle un défenseur obligatoire devait en principe être désigné. Il existait certes un droit à "un avocat de la première heure" (cf. art. 129, 132 al. 1 let. b, 158 al. 1 let. c et 159 CPP; ATF 144 IV 377 consid. 2) mais pas à "une défense obligatoire de la première heure" (cf. arrêts 6B_322/2021 du 2 mars 2022 consid. 1.3; 6B_338/2020 du 3 février 2021 consid. 2.3.4). Or, il ressort du procès-verbal d'audition que ce droit a été respecté. Le recourant en a bien pris connaissance, ses droits et obligations ayant même été traduits en anglais pour l'occasion. Il n'a pas souhaité faire appel à un avocat de permanence ou à son propre avocat dont il a jugé la présence inutile et a déclaré être d'accord de s'exprimer hors leur présence (cf. procès-verbal d'audition daté du 28 avril 2021, p. 17). La direction de la procédure n'était pas tenue de désigner un défenseur obligatoire au stade de ce premier interrogatoire de police. Dès lors, le grief du recourant doit être rejeté dans la mesure où il est recevable.</w:t>
      </w:r>
    </w:p>
    <w:p>
      <w:r>
        <w:rPr>
          <w:b/>
        </w:rPr>
        <w:t>E. 2</w:t>
      </w:r>
    </w:p>
    <w:p>
      <w:r>
        <w:t>En invoquant l'arbitraire dans l'établissement des faits, ainsi que la violation du principe in dubio pro reo , le recourant conteste sa condamnation pour actes d'ordre sexuel commis sur une personne incapable de discernement ou de résistence.</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2.1.3</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consid. 7.2 et les références citées; voir également ATF 119 IV 230 consid. 3a; arrêts 6B_1330/2022 du 3 juillet 2023 consid. 3.1.3; 6B_164/2022 du 5 décembre 2022 consid. 2.1 et les références citées). Une personne endormie est sans résistance au sens de la norme pénale (arrêts 6B_164/2022 précité consid. 2.1; 6B_488/2021 du 22 décembre 2021 consid. 5.5; 6B_1204/2017 du 17 mai 2018 consid. 2 et la référence citée). 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 Herabsetzung der Hemmschwelle ; ATF 133 IV 49 consid. 7.2; 119 IV 230 consid. 3a; arrêt 6B_836/2023 du 18 mars 2024 consid. 2.1.4). Une incapacité de résistance peut être retenue lorsqu'une personne, sous l'effet de l'alcool et de fatigue, ne peut pas ou que faiblement s'opposer aux actes entrepris (cf. arrêts 6B_836/2023 du 18 mars 2024 consid. 2.1.4; 6B_1330/2022 précité consid. 3.1.3; 6B_164/2022 précité consid. 2.1). Sur le plan subjectif, l' art. 191 CP requiert l'intention, étant précisé que le dol éventuel suffit (arrêts 6B_737/2022 du 1er mai 2023 consid. 4.4; 6B_164/2022 précité consid. 2.1; 6B_1174/2021 du 21 juin 2022 consid. 2.1 et les références citées).</w:t>
      </w:r>
    </w:p>
    <w:p>
      <w:r>
        <w:rPr>
          <w:b/>
        </w:rPr>
        <w:t>E. 2.1.4</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w:t>
      </w:r>
    </w:p>
    <w:p>
      <w:r>
        <w:rPr>
          <w:b/>
        </w:rPr>
        <w:t>E. 2.2.1</w:t>
      </w:r>
    </w:p>
    <w:p>
      <w:r>
        <w:t>En l'espèce, la cour cantonale a reconnu le recourant coupable d'actes d'ordre sexuel commis sur une personne incapable de discernement, soit une pénétration vaginale et celui-ci s'étant retrouvé sur la victime, nu et en érection lorsque que celle-ci s'est réveillée. La cour cantonale a fondé le verdict de culpabilité sur la version présentée par la victime, admise et confirmée sur certains points par le recourant et B.________, en ce sens que les deux hommes se sont allongés aux côtés de celle-ci lorsqu'elle se trouvait sur le lit, dans une chambre, alors qu'elle était vêtue de son seul soutien gorge.</w:t>
      </w:r>
    </w:p>
    <w:p>
      <w:r>
        <w:rPr>
          <w:b/>
        </w:rPr>
        <w:t>E. 2.2.2</w:t>
      </w:r>
    </w:p>
    <w:p>
      <w:r>
        <w:t>Dans ses développements en lien avec les accusations portant sur les faits qui se sont déroulés à U.________ dans la nuit du 27 au 28 avril 2021, le recourant s'attache à souligner la divergence des versions des personnes auditionnées et le flou du déroulement des faits. S'il admet avoir caressé le sexe de la victime avec son consentement, il conteste avoir entrepris un acte sexuel pendant son sommeil. Il relativise les déclarations de la victime qu'il considère inconstantes et peu crédibles car elle n'aurait eu cesse de les modifier et de les rectifier en cours de procédure. Le recourant se plaint en outre du comportement et de l'absence de la victime lors de la procédure. Il considère que la cour cantonale n'aurait pas dû retenir sa mauvaise collaboration comme une démonstration de sa souffrance et de la réalité de ses accusations mais comme un désintérêt pour la procédure. Enfin, il estime que la cour cantonale aurait dû retenir certains échanges de messages où la victime s'excuserait auprès de B.________ de sa situation et de sa détention qu'elle trouverait choquante.</w:t>
      </w:r>
    </w:p>
    <w:p>
      <w:r>
        <w:rPr>
          <w:b/>
        </w:rPr>
        <w:t>E. 2.2.3</w:t>
      </w:r>
    </w:p>
    <w:p>
      <w:r>
        <w:t>Le recourant a eu l'occasion d'être confronté aux accusations de la victime lors de l'audition de celle-ci. Son retrait ensuite de la procédure est sans portée sur les droits de la défense. Par ailleurs, par son argumentation, le recourant se borne essentiellement, dans une démarche appellatoire et, partant, irrecevable dans le recours en matière pénale, à opposer son appréciation des faits à celle opérée par la cour cantonale. Il en va de même lorsqu'il affirme qu'il n'avait eu ni la conscience, ni la volonté de profiter de l'état d'incapacité totale de la victime qu'il pensait éveillée et consentante.</w:t>
      </w:r>
    </w:p>
    <w:p>
      <w:r>
        <w:rPr>
          <w:b/>
        </w:rPr>
        <w:t>E. 2.3</w:t>
      </w:r>
    </w:p>
    <w:p>
      <w:r>
        <w:t>La cour cantonale a jugé que, fatiguée et ivre, la victime s'était endormie le soir des faits et que son état de sommeil était corroboré par l'état de stupéfaction et le traumatisme qu'elle a manifesté à son réveil, certaines déclarations du recourant, ainsi que la présence de clonazépam dans son sang. Elle a considéré que les déclarations de la victime étaient constantes et dépourvues d'exagération. Cette dernière ayant répété, en exprimant de la colère et du dégoût, que le recourant s'était retrouvé nu, en érection et en mouvement lors de son réveil et immédiatement évoqué une pénétration vaginale à la police lors de sa première audition. En outre, cette pénétration est corroborée par la présence de traces d'ADN du recourant sur sa vulve et son fornix. Enfin, la cour cantonale a jugé que le choix de la victime de se retirer de la procédure n'enlevait en rien à sa crédibilité, cette décision procédurale pouvant s'expliquer par la fatigue ressentie et le besoin de passer à autre chose. Pour sa part, le recourant s'est borné à nier les accusations portées à son encontre en se prévalant d'un comportement séducteur de la victime tout au long de la soirée.</w:t>
      </w:r>
    </w:p>
    <w:p>
      <w:r>
        <w:rPr>
          <w:b/>
        </w:rPr>
        <w:t>E. 2.4</w:t>
      </w:r>
    </w:p>
    <w:p>
      <w:r>
        <w:t>Au vu de ce qui précède, la cour cantonale n'a pas versé dans l'arbitraire, ni méconnu la présomption d'innocence, en tenant les faits dénoncés par la victime pour établis.</w:t>
      </w:r>
    </w:p>
    <w:p>
      <w:r>
        <w:rPr>
          <w:b/>
        </w:rPr>
        <w:t>E. 3</w:t>
      </w:r>
    </w:p>
    <w:p>
      <w:r>
        <w:t>Condamné à une peine privative de liberté de 24 mois, le recourant se plaint d'une violation de l' art. 47 CP et requiert que la peine soit réduite et qu'une peine pécuniaire soit prononcée.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w:t>
      </w:r>
    </w:p>
    <w:p>
      <w:r>
        <w:rPr>
          <w:b/>
        </w:rPr>
        <w:t>E. 3.2</w:t>
      </w:r>
    </w:p>
    <w:p>
      <w:r>
        <w:t>La cour cantonale a retenu que la faute du recourant était importante. Il s'en est pris à l'intégrité sexuelle de la victime qui, se croyant en sécurité, s'était endormie auprès de l'un de ses amis dans une chambre séparée. Il a agi pour assouvir ses pulsions, sans aucun égard pour celle-ci qui a été prise pour un objet sexuel. La cour cantonale a indiqué que le comportement du recourant a suscité une réaction de panique chez la victime qui a subi un traumatisme certain et qui a été affectée durant plusieurs mois par les événements. S'agissant du comportement du recourant en cours de procédure, la cour cantonale a jugé que sa collaboration avait été médiocre du fait de ses déclarations inconstantes et évolutives et de sa persistance à contester toute forme de contrainte et de pénétration. Sa prise de conscience est considérée comme nulle. À sa décharge, la cour cantonale a notamment retenu son alcoolisation et l'ambiance festive de la soirée.</w:t>
      </w:r>
    </w:p>
    <w:p>
      <w:r>
        <w:rPr>
          <w:b/>
        </w:rPr>
        <w:t>E. 3.3</w:t>
      </w:r>
    </w:p>
    <w:p>
      <w:r>
        <w:t>Le recourant fait grief à la cour cantonale de ne pas avoir pris à décharge une série d'éléments. Le recourant indique que son alcoolémie, ainsi que la prise de stupéfiants doivent être pris en considération dans le cadre de sa responsabilité pénale et de la gravité de sa faute. À cet égard, cet aspect a été pris en compte par la cour cantonale. Quant à son âge au moment des faits (soit 26 ans), on ne peut pas considérer que c'est un jeune âge, le recourant étant majeure depuis près de 7 ans. Enfin s'agissant du comportement de la victime, celui-ci n'a jamais permis de conclure à ce que cette dernière était disposée à entretenir des rapports sexuels consentis avec le recourant. Pour le surplus, le recourant ne cite aucun élément important, propre à modifier la peine, qui aurait été omis ou pris en considération à tort par la cour cantonale, ni ne démontre que la cour cantonale aurait dû pondérer différemment l'un ou l'autre des éléments. Au regard des circonstances, il n'apparaît donc pas que la cour cantonale aurait abusé du large pouvoir d'appréciation dont elle disposait en fixant la quotité de la peine infligée au recourant. Le grief est donc rejeté.</w:t>
      </w:r>
    </w:p>
    <w:p>
      <w:r>
        <w:rPr>
          <w:b/>
        </w:rPr>
        <w:t>E. 4</w:t>
      </w:r>
    </w:p>
    <w:p>
      <w:r>
        <w:t>Invoquant les art. 8 CEDH et 66a CP, le recourant s'oppose à son expulsion du territoire suisse.</w:t>
      </w:r>
    </w:p>
    <w:p>
      <w:r>
        <w:rPr>
          <w:b/>
        </w:rPr>
        <w:t>E. 4.1.1</w:t>
      </w:r>
    </w:p>
    <w:p>
      <w:r>
        <w:t>Aux termes de l' art. 66a al. 1 let . h CP, le juge expulse de Suisse l'étranger qui est condamné pour actes d'ordre sexuel commis sur une personne incapable de discernement ( art. 191 CP ), quelle que soit la quotité de la peine prononcée à son encontre, pour une durée de 5 à 15 ans.</w:t>
      </w:r>
    </w:p>
    <w:p>
      <w:r>
        <w:rPr>
          <w:b/>
        </w:rPr>
        <w:t>E. 4.1.2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149 IV 231 consid. 2.1; 144 IV 332 consid. 3.3).</w:t>
      </w:r>
    </w:p>
    <w:p>
      <w:r>
        <w:rPr>
          <w:b/>
        </w:rPr>
        <w:t>E. 4.1.3</w:t>
      </w:r>
    </w:p>
    <w:p>
      <w:r>
        <w:t>La clause de rigueur permet de garantir le principe de la proportionnalité (cf. art. 5 al. 2 Cst. ; ATF 149 IV 231 consid. 2.1.1; 146 IV 105 consid. 3.4.2). Elle doit être appliquée de manière restrictive ( ATF 149 IV 231 consid. 2.1.1; 146 IV 105 consid. 3.4.2).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4.1.4</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 Un séjour légal de dix années suppose en principe une bonne intégration de l'étranger ( ATF 144 I 266 consid. 3.9).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4.1.5</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6B_1116/2022 précité consid. 3.1.2).</w:t>
      </w:r>
    </w:p>
    <w:p>
      <w:r>
        <w:rPr>
          <w:b/>
        </w:rPr>
        <w:t>E. 4.2</w:t>
      </w:r>
    </w:p>
    <w:p>
      <w:r>
        <w:t>En l'espèce, la cour cantonale a estimé que la clause de rigueur ne trouvait pas application, malgré un relativement long séjour en Suisse où la situation financière du recourant ne lui permet plus de vivre. Elle a jugé que le recourant ne se trouvait pas dans une situation personnelle grave et que, faute de liens sociaux et professionnels qualifiés avec cet État, il ne pouvait pas se prévaloir d'une ingérence à son droit au respect de sa vie privée. Au vu de cette absence de lien, la cour cantonale a considéré que l'intérêt public à son expulsion, pour une durée limitée de cinq ans, primait son intérêt personnel à y rester.</w:t>
      </w:r>
    </w:p>
    <w:p>
      <w:r>
        <w:rPr>
          <w:b/>
        </w:rPr>
        <w:t>E. 4.3</w:t>
      </w:r>
    </w:p>
    <w:p>
      <w:r>
        <w:t>Au bénéfice d'une autorisation de séjour, le recourant oppose être resté en Suisse sans interruption depuis son arrivée en 2008, soit plus de la moitié de sa vie et d'entretenir une relation étroite avec ses frères qui y résident. Il indique que sa famille, qui vit actuellement au Kazakhstan, est en conflit avec le gouvernement ce qui impliquerait un risque considérable pour lui en cas de retour au pays.</w:t>
      </w:r>
    </w:p>
    <w:p>
      <w:r>
        <w:rPr>
          <w:b/>
        </w:rPr>
        <w:t>E. 4.4</w:t>
      </w:r>
    </w:p>
    <w:p>
      <w:r>
        <w:t>En l'espèce, sous l'angle au respect de la vie privée, il ressort de l'arrêt attaqué que le recourant est certes arrivé en Suisse en 2008 à l'âge de treize ans mais c'est pour y être scolarisé en internat jusqu'en 2013. Par ailleurs, son renvoi vers le Kazakhstan ne peut pas être considéré comme difficile puisqu'il s'y trouve déjà depuis le 11 mai 2023, faute de revenus suffisants pour séjourner en Suisse. À ce sujet, on relèvera que le recourant est sans emploi, sans fortune et endetté à hauteur de 50'000 francs. De plus, au vu des diplômes obtenus, soit un bachelor et deux masters en marketing et en finance, sa réinsertion au Kazakhstan ne se heurte pas à des obstacles insurmontables, ce d'autant plus qu'il possède de la famille sur place. On rappellera que la relation avec ses frères n'est pas protégée par l' art. 8 par. 1 CEDH . Au sujet du risque qu'il invoque en lien avec sa famille et les relations conflictuelles que celle-ci entretiendrait avec le gouvernement, le recourant se contente de vagues affirmations et ne formule aucune description du danger encouru. Dans ces conditions, c'est à bon droit que la cour cantonale a jugé que le recourant ne se trouvait pas dans une situation personnelle grave et qu'il ne pouvait pas se prévaloir d'un droit au respect de sa vie privée ou familiale au sens de l' art. 8 par. 1 CEDH . La première condition pour l'application de l' art. 66a al. 2 CP n'étant pas réalisée, le prononcé de l'expulsion du recourant ne viole pas le droit fédéral.</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