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6B_1246/2015 vom 9. März 2016</w:t>
      </w:r>
    </w:p>
    <w:p>
      <w:r>
        <w:t>Bundesgericht, 2016-03-09, DE</w:t>
      </w:r>
    </w:p>
    <w:p>
      <w:r>
        <w:rPr>
          <w:b/>
        </w:rPr>
        <w:t xml:space="preserve">Quelle: </w:t>
      </w:r>
      <w:r>
        <w:t>https://mcp.opencaselaw.ch/entscheid/bger_6B_1246_2015</w:t>
      </w:r>
    </w:p>
    <w:p>
      <w:r>
        <w:t>FR: TF 6B_1246/2015 du 9 mars 2016</w:t>
      </w:r>
    </w:p>
    <w:p>
      <w:r>
        <w:t>IT: TF 6B_1246/2015 del 9 marzo 2016</w:t>
      </w:r>
    </w:p>
    <w:p>
      <w:pPr>
        <w:pStyle w:val="Heading2"/>
      </w:pPr>
      <w:r>
        <w:t>Erwägungen</w:t>
      </w:r>
    </w:p>
    <w:p>
      <w:r>
        <w:rPr>
          <w:b/>
        </w:rPr>
        <w:t>E. 1</w:t>
      </w:r>
    </w:p>
    <w:p>
      <w:r>
        <w:t>Der Beschwerdeführer wendet sich gegen die Strafzumessung.</w:t>
      </w:r>
    </w:p>
    <w:p>
      <w:r>
        <w:rPr>
          <w:b/>
        </w:rPr>
        <w:t>E. 1.1</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 BGE 127 IV 101 E. 2b S. 104 mit Hinweis; Urteil 6B_460/2010 vom 4. Februar 2011 E. 3.3.4 mit Hinweis, nicht publ. in: BGE 137 IV 57 ).</w:t>
      </w:r>
    </w:p>
    <w:p>
      <w:r>
        <w:rPr>
          <w:b/>
        </w:rPr>
        <w:t>E. 1.2.1</w:t>
      </w:r>
    </w:p>
    <w:p>
      <w:r>
        <w:t>Der Beschwerdeführer rügt, die Vorinstanz spreche eine Gesamtstrafe von 3 ½ Jahren Freiheitsentzug aus, ohne näher zu begründen, ob sie für jede einzelne Tat eine Freiheitsstrafe ausfällen würde.</w:t>
      </w:r>
    </w:p>
    <w:p>
      <w:r>
        <w:rPr>
          <w:b/>
        </w:rPr>
        <w:t>E. 1.2.2</w:t>
      </w:r>
    </w:p>
    <w:p>
      <w:r>
        <w:t>Für Strafen von weniger als sechs Monaten ist grundsätzlich eine Geldstrafe oder gemeinnützige Arbeit auszusprechen (Art. 34 Abs. 1, Art. 37 Abs. 1, Art. 40 und 41 Abs. 1 StGB ). Für Strafen von sechs Monaten bis zu einem Jahr sieht das Gesetz die Geldstrafe ( Art. 34 StGB ) und die Freiheitsstrafe ( Art. 40 StGB ) vor. Bei der Wahl der Sanktionsart ist als wichtiges Kriterium die Zweckmässigkeit einer bestimmten Sanktion, ihre Auswirkungen auf den Täter und sein soziales Umfeld sowie ihre präventive Effizienz zu berücksichtigen ( BGE 134 IV 97 E. 4.2 S. 101, 82 E. 4.1 S. 85).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S. 123; 134 IV 97 E. 4.2.2 S. 101, 82 E. 4.1 S. 85).</w:t>
      </w:r>
    </w:p>
    <w:p>
      <w:r>
        <w:t>Die Bildung einer Gesamtstrafe im Sinne von Art. 49 Abs. 1 StGB ist nur bei gleichartigen Strafen möglich. Ungleichartige Strafen sind kumulativ zu verhängen, da das Asperationsprinzip nur greift, wenn mehrere gleichartige Strafen ausgesprochen werden. Die Voraussetzungen von Art. 49 Abs. 1 StGB sind erfüllt, wenn das Gericht im konkreten Fall für jeden einzelnen Normverstoss gleichartige Strafen ausfällt. Dass die anzuwendenden Strafbestimmungen abstrakt gleichartige Strafen androhen, genügt nicht ( BGE 138 IV 120 E. 5.2 S. 122). Die Geldstrafe und die Freiheitsstrafe sind keine gleichartigen Strafen im Sinne von Art. 49 Abs. 1 StGB ( BGE 137 IV 57 E. 4.3.1 S. 58).</w:t>
      </w:r>
    </w:p>
    <w:p>
      <w:r>
        <w:t>Die mit Art. 41 StGB angestrebte Zurückdrängung kurzfristiger Freiheitsstrafen beruht auf der Überlegung, dass erst ab einer Vollzugszeit von mehr als einem halben Jahr von einem betreuungs- und behandlungsorientierten Vollzug gesprochen werden kann. Art. 41 StGB bezweckt somit in erster Linie, dass kein Freiheitsentzug von weniger als sechs Monaten angeordnet wird. Dieses Problem stellt sich indessen nicht, wenn bei der Bildung einer Gesamtstrafe als Einsatzstrafe für die schwerste Straftat eine Freiheitsstrafe festgesetzt und deren Dauer für die weiteren Delikte angemessen erhöht wird (Urteil 6B_466/2013 vom 25. Juli 2013 E. 2.3.3; siehe auch: Urteil 6B_228/2015 vom 25. August 2015 E. 2.2).</w:t>
      </w:r>
    </w:p>
    <w:p>
      <w:r>
        <w:rPr>
          <w:b/>
        </w:rPr>
        <w:t>E. 1.2.3</w:t>
      </w:r>
    </w:p>
    <w:p>
      <w:r>
        <w:t>Vorliegend erachtet die Vorinstanz eine Erhöhung der Einsatzstrafe um 16 Monate für den gewerbsmässigen Betrug als angemessen. Da sie bereits für diese Straftat eine Freiheitsstrafe von über sechs Monaten aussprechen würde, darf sie auch für die übrigen Delikte Freiheitsstrafen festlegen. Daran ändert nichts, dass die falsche Anschuldigung aufgrund ihres weiten abstrakten Strafrahmens als schwerste Straftat im Sinne von Art. 49 Abs. 1 StGB gilt und die Vorinstanz in einem ersten Schritt die Einsatzstrafe für dieses Delikt bestimmt.</w:t>
      </w:r>
    </w:p>
    <w:p>
      <w:r>
        <w:t>Entgegen den Ausführungen des Beschwerdeführers begründet die Vorinstanz, weshalb sie für jede einzelne Tat eine Freiheitsstrafe ausfällt und eine Gesamtstrafe von 3 ½ Jahren Freiheitsentzug für angemessen hält. Sie führt aus, die erste Instanz habe zu Recht eine Gesamtstrafe gebildet, jedoch mit falscher Begründung. Es reiche nicht aus, dass die jeweiligen Strafbestimmungen gleichartige Strafen androhen. Vielmehr müsse das Gericht für jeden einzelnen Normverstoss gleichartige Strafen aussprechen, damit eine Gesamtstrafe nach Art. 49 Abs. 1 StGB gebildet werden könne. Die Vorinstanz erwägt, die Vorstrafe des Beschwerdeführers aus dem Jahr 2009 wegen mehrfacher Urkundenfälschung und Fahrens in fahrunfähigem Zustand habe keine Wirkung gezeigt, weshalb aufgrund der Dauer sowie Intensität der vorliegend zu beurteilenden Taten davon auszugehen sei, dass nicht eine Geldstrafe, sondern nur eine Freiheitsstrafe als angemessene und zweckmässige Sanktion in Frage komme.</w:t>
      </w:r>
    </w:p>
    <w:p>
      <w:r>
        <w:rPr>
          <w:b/>
        </w:rPr>
        <w:t>E. 1.2.4</w:t>
      </w:r>
    </w:p>
    <w:p>
      <w:r>
        <w:t>Nach dem Gesagten ist nicht zu beanstanden, dass die Vorinstanz bei der Bildung der Gesamtstrafe von gleichartigen Strafen ausgeht.</w:t>
      </w:r>
    </w:p>
    <w:p>
      <w:r>
        <w:rPr>
          <w:b/>
        </w:rPr>
        <w:t>E. 1.3</w:t>
      </w:r>
    </w:p>
    <w:p>
      <w:r>
        <w:t>Der Einwand des Beschwerdeführers, die Vorinstanz schenke dem psychiatrischen Gutachten zu wenig Beachtung, ist unberechtigt. Die Vorinstanz erwägt, aus dem psychiatrischen Gutachten gehe hervor, dass seine Einsichts- und Steuerungsfähigkeit nicht herabgesetzt war. Zwar habe er täglich grosse Mengen Alkohol konsumiert, seinen Kunden gegenüber sei er jedoch nie alkoholisiert aufgetreten. Er habe mit Kalkül gehandelt, was auf eine einsichtsfähige Persönlichkeit schliessen lasse. Es gebe keinen Grund, von der gutachterlichen Feststellung abzuweichen, dass seine Einsichts- und Steuerungsfähigkeit nicht eingeschränkt war. Mit diesen Erwägungen setzt sich der Beschwerdeführer nicht auseinander. Er trägt lediglich vor, das Gutachten erkläre ihn als zurechnungsfähig, erkenne aber eine kaum therapierbare dissoziale Persönlichkeitsstörung. Nicht nachvollziehbar ist sein Vorbringen, das Gutachten wäre "nicht strafmindernd, aber verschuldensmindernd zu berücksichtigen gewesen".</w:t>
      </w:r>
    </w:p>
    <w:p>
      <w:r>
        <w:rPr>
          <w:b/>
        </w:rPr>
        <w:t>E. 1.4</w:t>
      </w:r>
    </w:p>
    <w:p>
      <w:r>
        <w:t>Der Beschwerdeführer macht geltend, die Freiheitsstrafe sei teilbedingt auszusprechen. Darauf ist nicht mehr einzutreten, nachdem es bei der Freiheitsstrafe von 3 ½ Jahren bleibt. Bei Freiheitsstrafen von mehr als drei Jahren kommt nur der vollständig unbedingte Vollzug infrage ( Art. 43 Abs. 1 StGB ).</w:t>
      </w:r>
    </w:p>
    <w:p>
      <w:r>
        <w:rPr>
          <w:b/>
        </w:rPr>
        <w:t>E. 2</w:t>
      </w:r>
    </w:p>
    <w:p>
      <w:r>
        <w:t>Die Beschwerde ist abzuweisen, soweit darauf eingetreten werden kann. Das Gesuch um unentgeltliche Rechtspflege ist wegen Aussichtslosigkeit abzuweisen ( Art. 64 Abs. 1 BGG ). Der Beschwerdeführer hat die bundesgerichtlichen Kosten zu tragen ( Art. 66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