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6B_1244/2023 vom 20. Dezember 2023</w:t>
      </w:r>
    </w:p>
    <w:p>
      <w:r>
        <w:t>Bundesgericht, 2023-12-20, FR</w:t>
      </w:r>
    </w:p>
    <w:p>
      <w:r>
        <w:rPr>
          <w:b/>
        </w:rPr>
        <w:t xml:space="preserve">Quelle: </w:t>
      </w:r>
      <w:r>
        <w:t>https://mcp.opencaselaw.ch/entscheid/bger_6B_1244_2023</w:t>
      </w:r>
    </w:p>
    <w:p>
      <w:r>
        <w:t>FR: TF 6B_1244/2023 du 20 décembre 2023</w:t>
      </w:r>
    </w:p>
    <w:p>
      <w:r>
        <w:t>IT: TF 6B_1244/2023 del 20 dicembre 2023</w:t>
      </w:r>
    </w:p>
    <w:p>
      <w:pPr>
        <w:pStyle w:val="Heading2"/>
      </w:pPr>
      <w:r>
        <w:t>Erwägungen</w:t>
      </w:r>
    </w:p>
    <w:p>
      <w:r>
        <w:rPr>
          <w:b/>
        </w:rPr>
        <w:t>E. 1.1</w:t>
      </w:r>
    </w:p>
    <w:p>
      <w:r>
        <w:t>Conformément à l' art. 42 al. 1 LTF , le mémoire de recours doit être motivé et contenir des conclusions.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1.2</w:t>
      </w:r>
    </w:p>
    <w:p>
      <w:r>
        <w:t>En l'espèce, les écritures de recours s'ouvrent sur un exposé en fait, dans lequel le recourant présente sa vision du déroulement de la procédure devant les différentes instances. Dans la mesure où l'intéressé ne formule aucun grief d'arbitraire précis à l'encontre du jugement cantonal attaqué, il n'y a pas lieu de s'arrêter sur ces développements, au mieux appellatoires.</w:t>
      </w:r>
    </w:p>
    <w:p>
      <w:r>
        <w:rPr>
          <w:b/>
        </w:rPr>
        <w:t>E. 2.1</w:t>
      </w:r>
    </w:p>
    <w:p>
      <w:r>
        <w:t>Le recourant se plaint du rejet de ses réquisitions de preuve, à savoir la mise en oeuvre "des moyens" prouvant que l'intimé est propriétaire ou locataire des trois avions dont il est question dans les articles incriminés, une perquisition chez un avionneur w.________ afin de prouver les liens entre les avions, l'intimé et son défenseur privé, ainsi que la production d'un document de la poste prouvant que la plainte pénale a bien été envoyée depuis V.________.</w:t>
      </w:r>
    </w:p>
    <w:p>
      <w:r>
        <w:rPr>
          <w:b/>
        </w:rPr>
        <w:t>E. 2.2</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141 I 60 consid. 3.3; 136 I 229 consid. 5.3).</w:t>
      </w:r>
    </w:p>
    <w:p>
      <w:r>
        <w:rPr>
          <w:b/>
        </w:rPr>
        <w:t>E. 2.2.1</w:t>
      </w:r>
    </w:p>
    <w:p>
      <w:r>
        <w:t>La cour cantonale a considéré, en l'occurrence, que les moyens de preuve sollicités n'étaient pas utiles au traitement de l'appel, dès lors qu'ils n'étaient pas de nature à modifier son appréciation quant à la recevabilité de la plainte et au résultat des preuves déjà administrées, le dossier contenant tous les éléments qui permettaient de statuer en droit.</w:t>
      </w:r>
    </w:p>
    <w:p>
      <w:r>
        <w:rPr>
          <w:b/>
        </w:rPr>
        <w:t>E. 2.2.2</w:t>
      </w:r>
    </w:p>
    <w:p>
      <w:r>
        <w:t>Le recourant se contente de reprocher à la cour cantonale d'avoir violé divers principes (égalité des armes, droit d'être entendu, interdiction de l'arbitraire). Il ne démontre toutefois pas que l'appréciation anticipée de la pertinence des moyens de preuve offerts, à laquelle la cour cantonale a procédé, serait entachée d'arbitraire et que lesdits moyens seraient nécessaires pour établir les faits ( art. 389 al. 3 CPP ). Son grief n'est pas motivé conformément aux exigences des art. 42 al. 2 et 106 al. 2 LTF, de sorte qu'il est irrecevable.</w:t>
      </w:r>
    </w:p>
    <w:p>
      <w:r>
        <w:t>Pour le surplus, en tant que le recourant expose des griefs à l'encontre du jugement de première instance, voire contre l'acte d'accusation, sa critique est également irrecevable, faute de s'en prendre à la décision de dernière instance cantonale au sens de l' art. 80 al. 1 LTF .</w:t>
      </w:r>
    </w:p>
    <w:p>
      <w:r>
        <w:rPr>
          <w:b/>
        </w:rPr>
        <w:t>E. 2.3</w:t>
      </w:r>
    </w:p>
    <w:p>
      <w:r>
        <w:t>Invoquant la violation des art. 6 et 182 CPP , le recourant reproche encore à la cour cantonale de ne pas avoir recherché, en particulier par le biais d'une expertise graphologique, si la signature figurant au pied de la plainte pénale était bien celle de l'intimé, ce qu'il contestait.</w:t>
      </w:r>
    </w:p>
    <w:p>
      <w:r>
        <w:t>Il ne ressort pas du jugement cantonal que le recourant aurait déjà requis la mise en oeuvre d'une expertise graphologique. Le grief est dès lors irrecevable, faute d'épuisement des instances cantonales ( art. 80 al. 1 LTF ). Pour le surplus, dans la mesure où la cour cantonale a considéré que la signature figurant sur la plainte pénale était similaire aux autres signatures de l'intimé apparaissant sur des pièces du dossier et qu'il n'y avait dès lors pas de doute à avoir sur son authenticité, elle pouvait, sans arbitraire, s'abstenir d'administrer des moyens de preuve complémentaires sur ce point. Le grief est rejeté, dans la mesure où il est recevable.</w:t>
      </w:r>
    </w:p>
    <w:p>
      <w:r>
        <w:rPr>
          <w:b/>
        </w:rPr>
        <w:t>E. 3</w:t>
      </w:r>
    </w:p>
    <w:p>
      <w:r>
        <w:t>Le recourant se plaint d'un défaut de motivation du jugement entrepris.</w:t>
      </w:r>
    </w:p>
    <w:p>
      <w:r>
        <w:rPr>
          <w:b/>
        </w:rPr>
        <w:t>E. 3.1</w:t>
      </w:r>
    </w:p>
    <w:p>
      <w:r>
        <w:t>Il soutient tout d'abord que la cour cantonale aurait insuffisamment motivé le rejet de son grief relatif à la validité de la plainte pénale, dès lors que celle-ci se serait bornée à constater que la plainte contenait une procuration en faveur du conseil de l'intimé, alors que ce point n'était pas relevant. Or, en tant que le recourant critique la pertinence de la discussion de la cour cantonale, il n'établit pas un défaut de motivation, mais s'en prend à l'application des conditions de validité de la plainte pénale au cas d'espèce, ce dont il sera question ci-après. Au demeurant, il apparaît que la cour cantonale ne s'est pas limitée à cette constatation et a suffisamment motivé le rejet du grief du recourant, comme cela découle de ce qui suit (cf. consid. 4.2</w:t>
      </w:r>
    </w:p>
    <w:p>
      <w:r>
        <w:t>infra ).</w:t>
      </w:r>
    </w:p>
    <w:p>
      <w:r>
        <w:rPr>
          <w:b/>
        </w:rPr>
        <w:t>E. 3.2</w:t>
      </w:r>
    </w:p>
    <w:p>
      <w:r>
        <w:t>Le recourant affirme encore que le jugement entrepris serait dépourvu de toute analyse relative au bien-fondé du contenu de l'article paru le 17 juin 2020 sur son blog. Circonscrit à cette seule assertion, le grief du recourant parait insuffisamment motivé, partant irrecevable (cf. art. 42 al. 2 et 106 al. 2 LTF). Il est également infondé, la cour cantonale ayant dûment motivé le rejet des preuves libératoires (cf. consid. 6.2.1</w:t>
      </w:r>
    </w:p>
    <w:p>
      <w:r>
        <w:t>infra ).</w:t>
      </w:r>
    </w:p>
    <w:p>
      <w:r>
        <w:rPr>
          <w:b/>
        </w:rPr>
        <w:t>E. 4</w:t>
      </w:r>
    </w:p>
    <w:p>
      <w:r>
        <w:t>Invoquant une violation de l' art. 31 CP , le recourant soutient que la plainte pénale n'émanerait pas de l'intimé et qu'elle serait par conséquent irrecevable.</w:t>
      </w:r>
    </w:p>
    <w:p>
      <w:r>
        <w:rPr>
          <w:b/>
        </w:rPr>
        <w:t>E. 4.1</w:t>
      </w:r>
    </w:p>
    <w:p>
      <w:r>
        <w:t>Aux termes de l' art. 30 al. 1 CP , si une infraction n'est punie que sur plainte, toute personne lésée peut porter plainte contre l'auteur. Selon l' art. 31 CP , le droit de porter plainte se prescrit par trois mois. Le délai court du jour où l'ayant droit a connu l'auteur de l'infraction.</w:t>
      </w:r>
    </w:p>
    <w:p>
      <w:r>
        <w:t>Le droit de déposer plainte est de nature strictement personnelle ( ATF 141 IV 380 consid. 2.3.4; 130 IV 97 consid. 2.1;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 art. 31 CP , est nécessaire s'agissant d'actes qui compromettent des biens immatériels strictement personnels tels que la vie et l'intégrité corporelle, l'honneur, la liberté personnelle ou encore la relation avec les enfants ( ATF 122 IV 207 consid. 3c). Avec le dépôt d'une plainte, le lésé manifeste sa volonté inconditionnelle de voir l'auteur poursuivi pénalement ( ATF 141 IV 380 consid. 2.3.4).</w:t>
      </w:r>
    </w:p>
    <w:p>
      <w:r>
        <w:rPr>
          <w:b/>
        </w:rPr>
        <w:t>E. 4.2</w:t>
      </w:r>
    </w:p>
    <w:p>
      <w:r>
        <w:t>La cour cantonale a constaté que, contrairement à ce que soutenait le recourant, la signature du plaignant sur la plainte était similaire à celle figurant sur toutes les pièces du dossier, même si elle n'était pas rigoureusement identique, ce qui n'avait rien d'anormal. On ne saurait en déduire qu'il s'agissait d'un faux. En outre, déterminer si la plainte avait bien été expédiée de V.________ était sans importance, l'essentiel étant qu'elle avait été déposée en temps utile, ce qui était le cas en l'espèce.</w:t>
      </w:r>
    </w:p>
    <w:p>
      <w:r>
        <w:rPr>
          <w:b/>
        </w:rPr>
        <w:t>E. 4.3</w:t>
      </w:r>
    </w:p>
    <w:p>
      <w:r>
        <w:t>Le recourant soutient qu'il est courant que les plaintes pénales contre des opposants v.________ soient signées par un sous-officier de la police politique de l'Etat de V.________. Dans le cas d'espèce, c'était soit le sous-officier de la police politique en poste dans la représentation diplomatique de V.________ à W.________ qui avait apposé sur la plainte une photocopie de la signature de l'intimé, ou alors le conseil de celui-ci. En effet, la signature du plaignant était différente de celle apposée sur d'autres documents. Du reste, l'intimé avait volontairement déposé une plainte affectée d'un vice de forme afin que les informations qu'elle contenait, à savoir le fait que l'intimé est propriétaire des avions dont il est question dans son blog, ne puissent pas être utilisées contre lui dans le cadre d'une procédure pénale en cours d'instruction par-devant le Parquet financier de Paris. Le recourant explique en outre en quoi, selon lui, un courrier recommandé affranchi de V.________ le 9 septembre 2020 n'a pu arriver à l'Étude du conseil de l'intimé à W.________ au plus tôt que le 21 septembre 2020, ce dont il déduit que l'intimé n'a pas pu signer la plainte lui-même et la déposer à temps.</w:t>
      </w:r>
    </w:p>
    <w:p>
      <w:r>
        <w:t>Cette argumentation repose exclusivement sur des faits qui ne ressortent pas du jugement entrepris sans que l'arbitraire de leur omission ne soit démontré. De plus, en tant que le recourant soutient que la signature apposée sur la plainte pénale ne présentait aucune similitude avec celle figurant au pied du procès-verbal signé par l'intimé en date du 28 septembre 2022, il se limite à opposer son appréciation des moyens de preuve à celle de la cour cantonale sans en démontrer le caractère insoutenable. L'articulation de son grief est, dans cette mesure, largement appellatoire, partant irrecevable.</w:t>
      </w:r>
    </w:p>
    <w:p>
      <w:r>
        <w:t>Pour le reste, le recourant se prévaut d'une rhétorique spécifique aux avocats et des nombreuses références légales et jurisprudentielles figurant dans la plainte pénale dans le but d'établir que l'intimé n'a pas pu rédiger lui-même cet acte. Ce faisant, il perd de vue que le plaignant peut se faire assister d'un conseil juridique dans la rédaction de sa plainte, tant et aussi longtemps qu'il la dépose lui-même, ou octroie une procuration spéciale à son conseil pour le faire (cf. consid. 4.1</w:t>
      </w:r>
    </w:p>
    <w:p>
      <w:r>
        <w:t>supra ).</w:t>
      </w:r>
    </w:p>
    <w:p>
      <w:r>
        <w:t>Au regard de ce qui précède, le recourant n'élève aucune critique recevable, susceptible de remettre en cause l'appréciation de la cour cantonale relative à la validité de la plainte pénale. Le grief est rejeté, dans la faible mesure de sa recevabilité.</w:t>
      </w:r>
    </w:p>
    <w:p>
      <w:r>
        <w:rPr>
          <w:b/>
        </w:rPr>
        <w:t>E. 5</w:t>
      </w:r>
    </w:p>
    <w:p>
      <w:r>
        <w:t>Le recourant fait grief à la cour cantonale d'avoir nié l'existence d'un conflit d'intérêts affectant le rapport de mandat entre l'intimé et son conseil, violant ainsi l'art. 12 de la Loi fédérale sur la libre circulation des avocats (RS 935.61; LLCA) et l' art. 6 par. 1 CEDH .</w:t>
      </w:r>
    </w:p>
    <w:p>
      <w:r>
        <w:rPr>
          <w:b/>
        </w:rPr>
        <w:t>E. 5.1</w:t>
      </w:r>
    </w:p>
    <w:p>
      <w:r>
        <w:t>La cour cantonale a constaté que l'existence d'un conflit entre les intérêts du plaignant et ceux de son conseil n'était pas établie.</w:t>
      </w:r>
    </w:p>
    <w:p>
      <w:r>
        <w:rPr>
          <w:b/>
        </w:rPr>
        <w:t>E. 5.2</w:t>
      </w:r>
    </w:p>
    <w:p>
      <w:r>
        <w:t>Le recourant soutient avoir exposé, par-devant la cour cantonale, les liens qui existaient entre le conseil de l'intimé et le beau-père de celui-ci, Président de la République de V.________. En se limitant ainsi à renvoyer à ses écritures cantonales, il ne présente pas une motivation recevable (cf. art. 42 al. 1 et 2 LTF ; ATF 133 II 396 consid. 3.1; 123 IV 42 consid. 3a; arrêts 6B_1240/2020 du 2 décembre 2020 consid. 5.3; 6B_867/2019 du 9 septembre 2019 consid. 2). Le recourant ajoute que l'intimé avait acquis l'avion, mentionné dans les articles du blog, auprès d'un ami de son conseil. Là encore, le recourant se prévaut d'éléments qui n'ont pas été retenus ou jugés décisifs par l'autorité précédente, sans démontrer l'arbitraire dans leur omission ou appréciation. Dans cette mesure, il ne motive pas de manière suffisante une violation du droit fédéral ou conventionnel, de sorte que son grief est irrecevable.</w:t>
      </w:r>
    </w:p>
    <w:p>
      <w:r>
        <w:rPr>
          <w:b/>
        </w:rPr>
        <w:t>E. 6</w:t>
      </w:r>
    </w:p>
    <w:p>
      <w:r>
        <w:t>Le recourant conteste sa condamnation du chef de diffamation, affirmant avoir apporté la preuve libératoire.</w:t>
      </w:r>
    </w:p>
    <w:p>
      <w:r>
        <w:rPr>
          <w:b/>
        </w:rPr>
        <w:t>E. 6.1</w:t>
      </w:r>
    </w:p>
    <w:p>
      <w:r>
        <w:t>Dans un premier moyen, le recourant se plaint d'une violation des art. 6 et 139 CPP . Il reproche ainsi aux autorités cantonales de ne pas avoir recherché, à sa décharge, les faits permettant d'établir le bien-fondé des propos tenus sur son blog en juin 2020. Ce faisant, il méconnaît que l'auteur supporte le fardeau, la charge et le risque des preuves libératoires de l' art. 173 al. 2 CP (Rieben/Mazou, Commentaire romand, Code pénal II, 1e éd. 2017, n° 26 et 40</w:t>
      </w:r>
    </w:p>
    <w:p>
      <w:r>
        <w:t>ad</w:t>
      </w:r>
    </w:p>
    <w:p>
      <w:r>
        <w:t>art. 173 CP ; Franz Riklin,</w:t>
      </w:r>
    </w:p>
    <w:p>
      <w:r>
        <w:t>in Basler Kommentar, Strafrecht II, 4e éd. 2019, n° 13</w:t>
      </w:r>
    </w:p>
    <w:p>
      <w:r>
        <w:t>ad</w:t>
      </w:r>
    </w:p>
    <w:p>
      <w:r>
        <w:t>art. 173 CP ).</w:t>
      </w:r>
    </w:p>
    <w:p>
      <w:r>
        <w:rPr>
          <w:b/>
        </w:rPr>
        <w:t>E. 6.2</w:t>
      </w:r>
    </w:p>
    <w:p>
      <w:r>
        <w:t>Ensuite, invoquant une constatation manifestement inexacte des faits, le recourant fait grief à la cour cantonale d'avoir ignoré les nombreuses preuves sérieuses sur lesquelles sa contribution parue sur le blog C.________.COM était fondée.</w:t>
      </w:r>
    </w:p>
    <w:p>
      <w:r>
        <w:rPr>
          <w:b/>
        </w:rPr>
        <w:t>E. 6.2.1</w:t>
      </w:r>
    </w:p>
    <w:p>
      <w:r>
        <w:t>La cour cantonale a constaté que le recourant n'avait pas réussi à faire la preuve de la vérité. Les pièces produites au dossier consistaient pour l'essentiel en des fiches et autres articles écrits par des sources dont le sérieux ne pouvait être vérifié - lorsqu'elles étaient identifiées. En outre, la plupart d'entre elles mentionnaient le président et non son beau-fils, B.________. Il ne ressortait pas des pièces produites au dossier une prétendue participation de ce dernier à un trafic de stupéfiants. Par ailleurs, comme l'avait relevé le premier juge, les parallèles faits par le recourant entre le trafic de drogue, l'achat d'avions par l'Etat de V.________ et l'enquête menée en France par le Parquet national financier - qui aux propres dires du recourant ne portait pourtant pas sur du trafic de drogue mais sur du blanchiment de biens immobiliers mal acquis, ce qui était du reste corroboré par l'article du journal E.________ versé au dossier - demeuraient incompréhensibles. Les pièces nouvelles produites ne prouvaient pas davantage l'implication de l'intimé dans un trafic de drogue.</w:t>
      </w:r>
    </w:p>
    <w:p>
      <w:r>
        <w:rPr>
          <w:b/>
        </w:rPr>
        <w:t>E. 6.2.2</w:t>
      </w:r>
    </w:p>
    <w:p>
      <w:r>
        <w:t>Dans un argumentaire parfois difficile à suivre, le recourant se borne à opposer son appréciation personnelle des pièces produites dans la procédure à celle de la cour cantonale, sans démontrer, ni même exposer en quoi celle-ci serait arbitraire. Sa démarche, purement appellatoire, n'est pas admissible dans le recours en matière pénale.</w:t>
      </w:r>
    </w:p>
    <w:p>
      <w:r>
        <w:t>Pour le surplus, en tant que le recourant cherche à tirer argument du fait que la cour cantonale aurait reconnu que les avions visés dans ses articles appartenaient à l'Etat v.________en, il méconnaît que celle-ci s'est limitée à exposer les allégations du recourant, sans toutefois établir les faits sous cet angle. Par ailleurs, on ne perçoit pas ce que le recourant voudrait déduire de la date de création de la société qui opère ces avions, le recourant ne fournissant aucune explication à cet égard. Enfin, le recourant n'expose pas en quoi il était insoutenable de constater que les pièces produites n'attestaient pas d'une participation de l'intimé à un trafic de drogue.</w:t>
      </w:r>
    </w:p>
    <w:p>
      <w:r>
        <w:t>Ainsi, le grief du recourant, qui ne répond pas aux exigences de motivation de l' art. 106 al. 2 LTF , est largement irrecevable. En tout état, il ne permet pas de démontrer l'arbitraire de la décision cantonale attaquée.</w:t>
      </w:r>
    </w:p>
    <w:p>
      <w:r>
        <w:rPr>
          <w:b/>
        </w:rPr>
        <w:t>E. 7</w:t>
      </w:r>
    </w:p>
    <w:p>
      <w:r>
        <w:t>La conclusion du recourant tendant à l'octroi d'une indemnité repose sur la prémisse de son acquittement, qu'il n'obtient pas, de sorte qu'elle n'a plus d'objet.</w:t>
      </w:r>
    </w:p>
    <w:p>
      <w:r>
        <w:rPr>
          <w:b/>
        </w:rPr>
        <w:t>E. 8</w:t>
      </w:r>
    </w:p>
    <w:p>
      <w:r>
        <w:t>Au vu de ce qui précède, le recours doit être rejeté, dans la faible mesure de sa recevabilité. Comme il était dénué de chances de succès, l'assistance judiciaire doit être rejetée. Le recourant qui succombe supportera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