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6B_1244/2014 vom 24. März 2015</w:t>
      </w:r>
    </w:p>
    <w:p>
      <w:r>
        <w:t>Bundesgericht, 2015-03-24, DE</w:t>
      </w:r>
    </w:p>
    <w:p>
      <w:r>
        <w:rPr>
          <w:b/>
        </w:rPr>
        <w:t xml:space="preserve">Quelle: </w:t>
      </w:r>
      <w:r>
        <w:t>https://mcp.opencaselaw.ch/entscheid/bger_6B_1244_2014</w:t>
      </w:r>
    </w:p>
    <w:p>
      <w:r>
        <w:t>FR: TF 6B_1244/2014 du 24 mars 2015</w:t>
      </w:r>
    </w:p>
    <w:p>
      <w:r>
        <w:t>IT: TF 6B_1244/2014 del 24 marzo 2015</w:t>
      </w:r>
    </w:p>
    <w:p>
      <w:pPr>
        <w:pStyle w:val="Heading2"/>
      </w:pPr>
      <w:r>
        <w:t>Erwägungen</w:t>
      </w:r>
    </w:p>
    <w:p>
      <w:r>
        <w:rPr>
          <w:b/>
        </w:rPr>
        <w:t>E. 1</w:t>
      </w:r>
    </w:p>
    <w:p>
      <w:r>
        <w:t>Oberstaatsanwaltschaft des Kantons Luzern, Postfach 3439, 6002 Luzern,</w:t>
      </w:r>
    </w:p>
    <w:p>
      <w:r>
        <w:rPr>
          <w:b/>
        </w:rPr>
        <w:t>E. 2</w:t>
      </w:r>
    </w:p>
    <w:p>
      <w:r>
        <w:t>A._______,</w:t>
      </w:r>
    </w:p>
    <w:p>
      <w:r>
        <w:rPr>
          <w:b/>
        </w:rPr>
        <w:t>E. 3</w:t>
      </w:r>
    </w:p>
    <w:p>
      <w:r>
        <w:t>Die Frist zur Einreichung einer Beschwerde ans Bundesgericht ist eine gesetzliche ( Art. 100 Abs. 1 BGG ) und kann deshalb nicht erstreckt werden ( Art. 47 Abs. 1 BGG ). Das Gesuch um Fristverlängerung bzw. um eine Nachfrist ist abzuweisen.</w:t>
      </w:r>
    </w:p>
    <w:p>
      <w:r>
        <w:rPr>
          <w:b/>
        </w:rPr>
        <w:t>E. 4</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6B_1108/2014 vom 30. Januar 2015 und weitere Urteile).</w:t>
      </w:r>
    </w:p>
    <w:p>
      <w:r>
        <w:t>Für Schäden, die Kantons- oder Gemeindebehörden in Ausübung amtlicher Verrichtungen einem Dritten widerrechtlich zufügen, haftet gemäss Haftungsgesetz vom 13. September 1988 im Kanton Luzern das Gemeinwesen (§ 4 Abs. 1 i.V. mit § 1 Abs. 2 und § 2 HaftungsG/LU). Der Dritte hat gegen die Beschuldigten keinen Anspruch (§ 4 Abs. 4 HaftungsG/LU). Allfällige Schadenersatz- und Genugtuungsansprüche des Beschwerdeführers gegen die Beschuldigten beurteilen sich demnach ausschliesslich nach dem HaftungsG/LU und sind deshalb öffentlich-rechtlicher Natur. Der Beschwerdeführer ist zum vorliegenden Rechtsmittel nicht legitimiert. Auf die Beschwerde ist im Verfahren nach Art. 108 BGG nicht einzutreten.</w:t>
      </w:r>
    </w:p>
    <w:p>
      <w:r>
        <w:rPr>
          <w:b/>
        </w:rPr>
        <w:t>E. 5</w:t>
      </w:r>
    </w:p>
    <w:p>
      <w:r>
        <w:t>Die Gerichtskosten sind dem Beschwerdeführer aufzuerlegen ( Art. 66 Abs. 1 BGG ). Das Gesuch um unentgeltliche Rechtspflege ist in Anwendung von Art. 64 BGG abzuweisen, weil die Rechtsbegehren aussichtslos erschienen. Den Beschwerdegegnern 2 und 3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