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6B_1242/2013 vom 17. Juli 2014</w:t>
      </w:r>
    </w:p>
    <w:p>
      <w:r>
        <w:t>Bundesgericht, 2014-07-17, FR</w:t>
      </w:r>
    </w:p>
    <w:p>
      <w:r>
        <w:rPr>
          <w:b/>
        </w:rPr>
        <w:t xml:space="preserve">Quelle: </w:t>
      </w:r>
      <w:r>
        <w:t>https://mcp.opencaselaw.ch/entscheid/bger_6B_1242_2013</w:t>
      </w:r>
    </w:p>
    <w:p>
      <w:r>
        <w:t>FR: TF 6B_1242/2013 du 17 juillet 2014</w:t>
      </w:r>
    </w:p>
    <w:p>
      <w:r>
        <w:t>IT: TF 6B_1242/2013 del 17 luglio 2014</w:t>
      </w:r>
    </w:p>
    <w:p>
      <w:pPr>
        <w:pStyle w:val="Heading2"/>
      </w:pPr>
      <w:r>
        <w:t>Erwägungen</w:t>
      </w:r>
    </w:p>
    <w:p>
      <w:r>
        <w:rPr>
          <w:b/>
        </w:rPr>
        <w:t>E. 1</w:t>
      </w:r>
    </w:p>
    <w:p>
      <w:r>
        <w:t>Le recourant prétend que la cour cantonale a violé la présomption d'innocence, le principe in dubio pro reo et son droit d'être entendu.</w:t>
      </w:r>
    </w:p>
    <w:p>
      <w:r>
        <w:rPr>
          <w:b/>
        </w:rPr>
        <w:t>E. 1.1</w:t>
      </w:r>
    </w:p>
    <w:p>
      <w:r>
        <w:t>La présomption d'innocence, garantie par les art. 32 al. 1 Cst. , 10 CPP, 14 par. 2 Pacte ONU II et 6 par. 2 CEDH, ainsi que son corollaire, le principe in dubio pro reo, concernent tant le fardeau de la preuve que l'appréciation des preuves ( ATF 120 Ia 31 consid. 2c p. 36 et les références citées).</w:t>
      </w:r>
    </w:p>
    <w:p>
      <w:r>
        <w:rPr>
          <w:b/>
        </w:rPr>
        <w:t>E. 1.1.1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(cf. ATF 127 I 38 consid. 2a p. 41; 124 IV 86 consid. 2a p. 88, 120 Ia 31 consid. 2c p. 37). Cela étant, le juge du fond ne peut retenir un fait défavorable à l'accusé que s'il est convaincu de la matérialité de ce fait, de sorte que le doute profite à l'accusé ( ATF 120 Ia 31 consid. 2c p. 37).</w:t>
      </w:r>
    </w:p>
    <w:p>
      <w:r>
        <w:rPr>
          <w:b/>
        </w:rPr>
        <w:t>E. 1.1.2</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127 I 38 consid. 2a p. 41; 120 Ia 31 consid. 2c p. 37).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1.1.3</w:t>
      </w:r>
    </w:p>
    <w:p>
      <w:r>
        <w:t>Le Tribunal fédéral examine librement si ces principes ont été violés en tant que règles sur le fardeau de la preuve. Il examine uniquement sous l'angle de l'arbitraire la question de savoir si le juge aurait dû éprouver un doute, c'est-à-dire celle de l'appréciation des preuves ( ATF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rPr>
          <w:b/>
        </w:rPr>
        <w:t>E. 1.2</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6B_101/2011 du 14 février 2012 consid. 3.1).</w:t>
      </w:r>
    </w:p>
    <w:p>
      <w:r>
        <w:rPr>
          <w:b/>
        </w:rPr>
        <w:t>E. 1.3</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L' art. 146 CP ne punit pas les tromperies qui peuvent être déjouées avec un minimum d'attention. La tromperie doit ainsi être astucieuse.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2</w:t>
      </w:r>
    </w:p>
    <w:p>
      <w:r>
        <w:t>En substance, la cour cantonale a retenu que le nombre important d'arrêts de travail prescrits, leur proximité temporelle, l'opacité du système mis en place et la démesure des salaires des collaborateurs ne laissaient planer aucun doute sur la culpabilité du recourant. Celui-ci, son épouse et les autres collaborateurs des sociétés D.________ SA et E.________ SA s'étaient vu prescrire entre le mois d'août 2005 et le mois de septembre 2006 pas moins de dix-neuf arrêts de travail, alors que les sociétés avaient compté en tout et pour tout six collaborateurs, travaillant à des moments différents pour les deux sociétés. Un cercle restreint de cinq médecins avait été consulté. Il n'était pas impossible que certains arrêts de travail prescrits soient légitimes. Toutefois, il n'était pas crédible que la majorité ait une raison médicale suffisante eu égard au rapprochement temporel entre les entrées en service et les demandes d'indemnisation pour arrêt de travail.</w:t>
      </w:r>
    </w:p>
    <w:p>
      <w:r>
        <w:t>S'agissant du dommage, la cour cantonale a estimé que le préjudice subi par les assureurs était important. Le montant des indemnités versées était admis par toutes les parties. Bien qu'il ne fût pas établi que le dommage était égal à toutes les compensations versées, il était plus probable qu'il s'en approche.</w:t>
      </w:r>
    </w:p>
    <w:p>
      <w:r>
        <w:rPr>
          <w:b/>
        </w:rPr>
        <w:t>E. 2.1</w:t>
      </w:r>
    </w:p>
    <w:p>
      <w:r>
        <w:t>La motivation cantonale n'est pas conforme à l' art. 112 LTF . Elle ne permet pas de savoir dans quel cas, c'est-à-dire pour quel (s) employé (s) et pour quel (s) arrêt (s) de travail, elle a estimé qu'il y avait tromperie. En l'occurrence, pour qu'il y ait tromperie, il faut soit que l'arrêt de travail annoncé à l'assurance ait été injustifié, voire partiellement injustifié dans le pourcentage d'incapacité de travail ou dans la durée, soit que le salaire annoncé n'ait pas correspondu au salaire perçu par les employés. Or, la cour cantonale ne distingue pas les différents cas ayant fait l'objet de la feuille d'envoi du 20 novembre 2009 et dont elle était encore saisie. En retenant qu'il n'était pas impossible que certains arrêts de travail soient légitimes, la cour cantonale semble vouloir exclure certains cas. On ignore lesquels. Son appréciation pourrait ainsi procéder d'une violation du principe in dubio pro reo dès lors que la cour pourrait avoir condamné le recourant pour des faits pour lesquels elle éprouvait un doute. Ainsi, l'arrêt cantonal doit être annulé et la cause renvoyée à l'autorité cantonale afin qu'elle examine pour quels cas de la feuille d'envoi du 20 novembre 2009, dont elle est encore saisie à la suite du jugement de première instance, les éléments constitutifs de l'escroquerie sont réalisés. Il en va de même s'agissant de l'établissement du dommage. La cour cantonale devra établir, pour chacun des cas, le montant du dommage qui devra correspondre à l'enrichissement du recourant ou du tiers en faveur de qui il a agi.</w:t>
      </w:r>
    </w:p>
    <w:p>
      <w:r>
        <w:rPr>
          <w:b/>
        </w:rPr>
        <w:t>E. 2.2</w:t>
      </w:r>
    </w:p>
    <w:p>
      <w:r>
        <w:t>Au vu du sort du recours, les autres griefs du recourant deviennent sans objet.</w:t>
      </w:r>
    </w:p>
    <w:p>
      <w:r>
        <w:rPr>
          <w:b/>
        </w:rPr>
        <w:t>E. 3</w:t>
      </w:r>
    </w:p>
    <w:p>
      <w:r>
        <w:t>Le recourant obtient gain de cause. Il ne supporte pas de frais ( art. 66 al. 1 LTF ). Il peut prétendre à de pleins dépens ( art. 68 al. 1 LTF ). La requête d'assistance judiciaire est sans objet ( art. 64 al. 2 LTF ). Les intimées A.________ SA et B.________ ne s'étant pas déterminées, il n'y a pas lieu de leur faire supporter des frais et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