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6B_1240/2022 vom 8. Juni 2023</w:t>
      </w:r>
    </w:p>
    <w:p>
      <w:r>
        <w:t>Bundesgericht, 2023-06-08, FR</w:t>
      </w:r>
    </w:p>
    <w:p>
      <w:r>
        <w:rPr>
          <w:b/>
        </w:rPr>
        <w:t xml:space="preserve">Quelle: </w:t>
      </w:r>
      <w:r>
        <w:t>https://mcp.opencaselaw.ch/entscheid/bger_6B_1240_2022</w:t>
      </w:r>
    </w:p>
    <w:p>
      <w:r>
        <w:t>FR: TF 6B_1240/2022 du 8 juin 2023</w:t>
      </w:r>
    </w:p>
    <w:p>
      <w:r>
        <w:t>IT: TF 6B_1240/2022 del 8 giugno 2023</w:t>
      </w:r>
    </w:p>
    <w:p>
      <w:pPr>
        <w:pStyle w:val="Heading2"/>
      </w:pPr>
      <w:r>
        <w:t>Erwägungen</w:t>
      </w:r>
    </w:p>
    <w:p>
      <w:r>
        <w:rPr>
          <w:b/>
        </w:rPr>
        <w:t>E. 1</w:t>
      </w:r>
    </w:p>
    <w:p>
      <w:r>
        <w:t>Le recourant se plaint d'une violation des art. 41 al. 1 et 47 CP .</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 Conformément à l' art. 41 al. 2 CP , lorsque le juge choisit de prononcer à la place d'une peine pécuniaire une peine privative de liberté, il doit motiver le choix de cette dernière peine de manière circonstanciée.</w:t>
      </w:r>
    </w:p>
    <w:p>
      <w:r>
        <w:rPr>
          <w:b/>
        </w:rPr>
        <w:t>E. 1.2</w:t>
      </w:r>
    </w:p>
    <w:p>
      <w:r>
        <w:t>La cour cantonale, qui a confirmé la condamnation du recourant à une peine privative de liberté de 50 jours, a considéré que sa faute était sérieuse. En situation irrégulière depuis 1993, il avait manifesté par son comportement un profond mépris de l'ordre juridique suisse et avait porté atteinte à la collectivité dans la mesure où ses interpellations successives avaient mobilisé de nombreux acteurs appelés à assurer la sécurité publique. Il avait également attenté au patrimoine d'autrui; s'il avait certes restitué l'argent subtilisé, il ne l'avait fait qu'après avoir été interpellé. En outre, quand bien même sa collaboration dans la présente procédure avait été bonne et qu'il semblait prendre conscience de ses agissements en ayant notamment présenté spontanément des excuses à la victime lors de l'audience devant le tribunal de police, ces éléments ne suffisaient à contrebalancer ses nombreux antécédents. Il y avait par ailleurs concours d'infraction, ce qui constituait un facteur aggravant. Quant au souhait du recourant de régulariser sa situation par un mariage avec son amie, il ne l'avait étayé par aucune preuve, le formulaire de demande en vue d'un mariage produit, dont il n'apparaissait pas qu'il avait été déposé, n'était pas suffisant. S'agissant du genre de la peine, la juridiction cantonale a retenu qu'une peine pécuniaire n'entrait en ligne de compte pour aucune des infractions en cause, en particulier eu égard aux antécédents spécifiques du recourant et à l'absence d'effet dissuasif des peines pécuniaires précédemment prononcées. L'allégation du recourant selon laquelle sa compagne aurait été en mesure de s'acquitter d'une peine pécuniaire, outre qu'elle n'était étayée par aucune pièce, n'était pas pertinente, la peine pécuniaire devant être assumée par la personne condamnée et non par un tiers compte tenu du caractère éminemment personnel de la sanction pénale.</w:t>
      </w:r>
    </w:p>
    <w:p>
      <w:r>
        <w:rPr>
          <w:b/>
        </w:rPr>
        <w:t>E. 1.3</w:t>
      </w:r>
    </w:p>
    <w:p>
      <w:r>
        <w:t>Le recourant considère que la peine prononcée, qu'il estime extrêmement lourde, ne ferait aucun sens "dans sa situation très particulière". Il se contente toutefois de soulever des critères (soutien financier de sa compagne, projet de régularisation de sa situation respectivement d'intégration par un mariage avec avec celle-ci, collaboration à la procédure, excuses présentées, prise de conscience de ses erreurs) dont la cour cantonale a, pour autant qu'ils fussent avérés, tenu compte, sans démontrer en quoi il eût fallu leur apporter un poids différent. Par ses développements, il ne met en évidence aucun élément que la juridiction précédente aurait, à tort, ignoré en sa faveur ou pris en considération en sa défaveur. Au regard des circonstances, il n'apparaît pas que celle-ci aurait abusé du large pouvoir d'appréciation dont elle disposait en confirmant la peine privative de liberté de 50 jours prononcée. Pour le reste, le recourant ne présente aucune critique quant aux motifs de sécurité publique et de prévention spéciale ayant conduit la cour cantonale à considérer que seule une peine privative de liberté entrait en ligne de compte, sauf à affirmer péremptoirement, par un moyen qui frise la témérité, qu'il ne représenterait plus aucun danger pour la sécurité publique "car il n'aurait plus commis de vol depuis 2014". La motivation de la cour cantonale quant à la nature de la peine ne prête pas le flanc à la critique et s'avère conforme au droit fédéral (cf. consid. 1.1</w:t>
      </w:r>
    </w:p>
    <w:p>
      <w:r>
        <w:t>supra ).</w:t>
      </w:r>
    </w:p>
    <w:p>
      <w:r>
        <w:t>Mal fondé, le grief du recourant doit être rejeté, dans la mesure où il est recevable.</w:t>
      </w:r>
    </w:p>
    <w:p>
      <w:r>
        <w:rPr>
          <w:b/>
        </w:rPr>
        <w:t>E. 2</w:t>
      </w:r>
    </w:p>
    <w:p>
      <w:r>
        <w:t>Au vu de ce qui précède, le recours doit être rejeté dans la mesure de sa recevabilité.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