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6B_1240/2015 vom 7. Juli 2016</w:t>
      </w:r>
    </w:p>
    <w:p>
      <w:r>
        <w:t>Bundesgericht, 2016-07-07, FR</w:t>
      </w:r>
    </w:p>
    <w:p>
      <w:r>
        <w:rPr>
          <w:b/>
        </w:rPr>
        <w:t xml:space="preserve">Quelle: </w:t>
      </w:r>
      <w:r>
        <w:t>https://mcp.opencaselaw.ch/entscheid/bger_6B_1240_2015</w:t>
      </w:r>
    </w:p>
    <w:p>
      <w:r>
        <w:t>FR: TF 6B_1240/2015 du 7 juillet 2016</w:t>
      </w:r>
    </w:p>
    <w:p>
      <w:r>
        <w:t>IT: TF 6B_1240/2015 del 7 luglio 2016</w:t>
      </w:r>
    </w:p>
    <w:p>
      <w:pPr>
        <w:pStyle w:val="Heading2"/>
      </w:pPr>
      <w:r>
        <w:t>Erwägungen</w:t>
      </w:r>
    </w:p>
    <w:p>
      <w:r>
        <w:rPr>
          <w:b/>
        </w:rPr>
        <w:t>E. 1</w:t>
      </w:r>
    </w:p>
    <w:p>
      <w:r>
        <w:t>Le recourant conteste la circonstance aggravante du métier ( art. 146 al. 2 CP ). Sans nier la relative longue durée de ses agissements ni l'importance des sommes qu'il a obtenues au moyen de ses escroqueries, il fait valoir qu'il n'a pas agi dans le but de couvrir ses besoins courants ou de les augmenter mais essentiellement pour financer son addiction aux jeux de hasard, dont le caractère pathologique avait été reconnu par les experts psychiatres mandatés par le ministère public. D'ailleurs, sa situation financière n'avait fait que de se dégrader. Il avait procédé sous le coup d'impulsions, au gré de son humeur et de ses besoins de liquidités pour jouer, et non pas en fonction d'une méthode. Ses actes s'apparentaient ainsi à ceux d'un kleptomane chez lequel l'intention de voler n'est pas générale mais occasionnelle et à répétition. Ils ne témoignaient ni d'un endurcissement ni d'une dangerosité sociale qui caractérisent l'escroc par métier.</w:t>
      </w:r>
    </w:p>
    <w:p>
      <w:r>
        <w:rPr>
          <w:b/>
        </w:rPr>
        <w:t>E. 1.1</w:t>
      </w:r>
    </w:p>
    <w:p>
      <w:r>
        <w:t>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 ATF 129 IV 253 c. 2.1 p. 254; arrêt 6B_ 861/2009 du 18 février 2010 et les arrêts cités).</w:t>
      </w:r>
    </w:p>
    <w:p>
      <w:r>
        <w:rPr>
          <w:b/>
        </w:rPr>
        <w:t>E. 1.2</w:t>
      </w:r>
    </w:p>
    <w:p>
      <w:r>
        <w:t>La cour cantonale retient qu'entre 2009 et 2011, le recourant s'est procuré des montants considérables, soit près de 3,8 millions de francs, en escroquant trois personnes. Elle retient également que, durant cette période, le recourant n'a réalisé aucune opération financière dont il aurait tiré des revenus pour entretenir son train de vie, qu'il passait tous ses après-midi au casino et qu'il consacrait pratiquement le reste de son temps à ses agissements délictueux. En définitive, celui-ci ne vivait que grâce aux montants obtenus par le biais de ses actes illicites auxquels il n'avait mis un terme qu'à la suite de l'ouverture d'une action pénale contre lui.</w:t>
      </w:r>
    </w:p>
    <w:p>
      <w:r>
        <w:rPr>
          <w:b/>
        </w:rPr>
        <w:t>E. 1.3</w:t>
      </w:r>
    </w:p>
    <w:p>
      <w:r>
        <w:t>Sur la base de ces éléments, c'est à juste titre que la cour cantonale a admis la réalisation de la circonstance aggravante de l'escroquerie par métier. En effet, il est établi que le recourant a commis plusieurs escroqueries dans son domaine d'activité professionnelle et que l'argent ainsi obtenu lui a permis de satisfaire son mode de vie, au point même qu'il a pu se passer de toute autre source de revenus durant trois ans. Quoi qu'il en dise, cela impliquait une certaine organisation de sa part, ne serait-ce que pour convaincre les lésés de faire des affaires avec lui et les maintenir dans l'illusion que les fonds prêtés étaient affectés conformément à ce qui était convenu. Quant au fait qu'il a consacré la plus grande partie du produit de ses actes illicites à assouvir son addiction au jeu, il ne change rien à la qualification de métier (voir par exemple l'arrêt 6B_13/2009 du 9 février 2009 consid. 2.2 dans lequel l'auteur, reconnu coupable de vols par métier, présentait une dépendance aux stupéfiants). La légère diminution de la responsabilité pénale établie par l'expertise psychiatrique du 4 février 2013 à raison d'un trouble de jeu pathologique ne joue un rôle qu'au stade de la fixation de la peine ( art. 19 al. 2 CP ). Elle n'a pas d'incidence pour l'examen de la question de savoir si le recourant a exercé son activité coupable à la manière d'une profession.</w:t>
      </w:r>
    </w:p>
    <w:p>
      <w:r>
        <w:rPr>
          <w:b/>
        </w:rPr>
        <w:t>E. 2</w:t>
      </w:r>
    </w:p>
    <w:p>
      <w:r>
        <w:t>Le recourant soutient que la peine qui lui a été infligée serait trop sévère.</w:t>
      </w:r>
    </w:p>
    <w:p>
      <w:r>
        <w:rPr>
          <w:b/>
        </w:rPr>
        <w:t>E. 2.1.1</w:t>
      </w:r>
    </w:p>
    <w:p>
      <w:r>
        <w:t>L'infraction d'escroquerie par métier est passible d'une peine privative de liberté de 10 ans au plus ( art. 146 al. 2 CP ).</w:t>
      </w:r>
    </w:p>
    <w:p>
      <w:r>
        <w:rPr>
          <w:b/>
        </w:rPr>
        <w:t>E. 2.1.2</w:t>
      </w:r>
    </w:p>
    <w:p>
      <w:r>
        <w:t>Selon l' art. 47 CP , la peine doit être fixée d'après la culpabilité de l'auteur (voir aussi ATF 141 IV 61 consid. 6.1.1 p. 66 s. et les arrêts cités). Cette disposition confère un large pouvoir d'appréciation au juge de l'action pénale. Saisi d'un recours, le Tribunal fédéral n'intervient que lorsque la sanction infligée excède les limites du cadre légal, lorsque l'autorité précédente s'est laissé guider par des critères dépourvus de pertinence ou a méconnu des aspects importants, ou encore lorsque la peine apparaît exagérément sévère ou indûment clémente, au point que la décision attaquée procède d'un abus du pouvoir d'appréciation ( ATF 136 IV 55 consid. 5.6 p. 61).</w:t>
      </w:r>
    </w:p>
    <w:p>
      <w:r>
        <w:rPr>
          <w:b/>
        </w:rPr>
        <w:t>E. 2.1.3</w:t>
      </w:r>
    </w:p>
    <w:p>
      <w:r>
        <w:t>Aux termes de l' art. 19 al. 2 CP , le juge atténue la peine si, au moment d'agir, l'auteur ne possédait que partiellement la faculté d'apprécier la caractère illicite de son acte ou de se déterminer d'après cette appréciation. On peut renvoyer à l' ATF 136 IV 55 s'agissant des principes qui président à la fixation de la peine en cas de diminution de responsabilité.</w:t>
      </w:r>
    </w:p>
    <w:p>
      <w:r>
        <w:rPr>
          <w:b/>
        </w:rPr>
        <w:t>E. 2.2</w:t>
      </w:r>
    </w:p>
    <w:p>
      <w:r>
        <w:t>En l'espèce, l'autorité précédente a considéré que la culpabilité du recourant était extrêmement lourde. Ce dernier n'avait pas hésité à profiter des rapports de confiance ou d'amitié qu'il entretenait avec les lésés pour se procurer de l'argent par la tromperie. Il avait agi de manière égoïste et sans scrupules alors qu'il avait toutes les cartes en mains pour développer les affaires de sa société honnêtement sans avoir recours à de tels procédés. En outre, les infractions étaient en concours. A la décharge du recourant, l'autorité précédente a retenu une légère diminution de sa responsabilité qui, selon les experts psychiatres, n'affectait cependant que les actes commis au détriment de A.________ SA et seulement en relation avec l'utilisation de l'argent. Elle a également tenu compte des aveux du recourant et des reconnaissances de dettes qu'il a signées en faveur de lésés. Elle a fixé une peine privative de liberté de quatre ans, réduisant d'une année celle arrêtée par le tribunal correctionnel.</w:t>
      </w:r>
    </w:p>
    <w:p>
      <w:r>
        <w:rPr>
          <w:b/>
        </w:rPr>
        <w:t>E. 2.3</w:t>
      </w:r>
    </w:p>
    <w:p>
      <w:r>
        <w:t>En tant que le recourant prétend que la peine devrait être réduite dès lors qu'il ne doit pas répondre d'escroquerie par métier au sens de l' art. 146 al. 2 CP , son grief est irrecevable. Pour le surplus, il se borne à critiquer la quotité de la peine en se référant de façon toute générale aux circonstances de son cas, sans même préciser ce qui justifierait, selon lui, le prononcé d'une peine de trois ans au plus avec un sursis partiel comme il le voudrait. Il ne formule en particulier aucun grief en rapport avec l'application de l' art. 19 al. 2 CP et de la jurisprudence y relative. De ce point de vue, sa motivation n'est pas recevable ( art. 42 al. 2 LTF ). Cela étant, la cour cantonale a indiqué les éléments sur lesquels elle s'est fondée - qui ne sont pas critiqués en tant que tels par le recourant - et on peut comprendre qu'elle a apprécié plus largement que le tribunal correctionnel l'effet de la légère diminution de responsabilité du recourant sur sa faute, puisqu'elle a réduit la peine privative de liberté de cinq à quatre ans. Au vu de l'ensemble des circonstances, elle n'a pas abusé ou excédé son pouvoir d'appréciation.</w:t>
      </w:r>
    </w:p>
    <w:p>
      <w:r>
        <w:rPr>
          <w:b/>
        </w:rPr>
        <w:t>E. 3</w:t>
      </w:r>
    </w:p>
    <w:p>
      <w:r>
        <w:t>Le recours doit être rejeté, dans la mesure où il est recevable.</w:t>
      </w:r>
    </w:p>
    <w:p>
      <w:r>
        <w:t>Les conclusions étaient dénuées de chance de succès, de sorte que la demande d'assistance judiciaire doit être rejetée ( art. 64 al. 1 LTF a contrario). Le recourant supportera les frais de justice dont la quotité tiendra compte de sa situation financière difficile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