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BGer 6B 123/2013 vom 10. Juni 2013</w:t>
      </w:r>
    </w:p>
    <w:p>
      <w:r>
        <w:t>Bundesgericht, 2013-06-10, FR</w:t>
      </w:r>
    </w:p>
    <w:p>
      <w:r>
        <w:rPr>
          <w:b/>
        </w:rPr>
        <w:t xml:space="preserve">Quelle: </w:t>
      </w:r>
      <w:r>
        <w:t>https://mcp.opencaselaw.ch/entscheid/bger_6B_123_2013</w:t>
      </w:r>
    </w:p>
    <w:p>
      <w:r>
        <w:t>FR: TF 6B 123/2013 du 10 juin 2013</w:t>
      </w:r>
    </w:p>
    <w:p>
      <w:r>
        <w:t>IT: TF 6B 123/2013 del 10 giugno 2013</w:t>
      </w:r>
    </w:p>
    <w:p>
      <w:pPr>
        <w:pStyle w:val="Heading2"/>
      </w:pPr>
      <w:r>
        <w:t>Regeste</w:t>
      </w:r>
    </w:p>
    <w:p>
      <w:r>
        <w:t>Droit d'être entendu, arbitraire, présomption d'innocence, etc. | Procédure pénale</w:t>
      </w:r>
    </w:p>
    <w:p>
      <w:pPr>
        <w:pStyle w:val="Heading2"/>
      </w:pPr>
      <w:r>
        <w:t>Erwägungen</w:t>
      </w:r>
    </w:p>
    <w:p>
      <w:r>
        <w:rPr>
          <w:b/>
        </w:rPr>
        <w:t>E. 1</w:t>
      </w:r>
    </w:p>
    <w:p>
      <w:r>
        <w:t>Invoquant les art. 6, 10, 100, 101, 107, 108, 139 al. 1, 182, 192, 389 al. 3 CPP, 9, 29 al. 1 et 2, 32 al. 1 Cst. et 6 par. 1, 2 et 3 CEDH, le recourant soutient que le refus de la cour cantonale de verser au dossier la trace d'oreille retrouvée sur la porte de l'appartement cambriolé le 20 juin 2011 et les empreintes d'oreille prélevées sur lui, ainsi que d'ordonner l'audition du Prof. Christophe Champod et de verser au dossier ses publications scientifiques, viole le principe d'instruction, le principe de la présomption d'innocence et son droit d'être entendu.</w:t>
      </w:r>
    </w:p>
    <w:p>
      <w:r>
        <w:rPr>
          <w:b/>
        </w:rPr>
        <w:t>E. 1.1</w:t>
      </w:r>
    </w:p>
    <w:p>
      <w:r>
        <w:t>Tel que garanti par l' art. 29 al. 2 Cst. , le droit d'être entendu comprend, notamment, le droit pour l'intéressé de prendre connaissance du dossier ( ATF 126 I 7 consid. 2b p. 10), de s'exprimer sur les éléments pertinents avant qu'une décision ne soit prise touchant sa situation juridique, de produire des preuves pertinentes, d'obtenir qu'il soit donné suite à ses offres de preuves pertinentes, de participer à l'administration des preuves essentielles ou à tout le moins de s'exprimer sur son résultat, lorsque cela est de nature à influer sur la décision à rendre ( ATF 135 II 286 consid. 5.1 p. 293; 132 II 485 consid. 3.2 p. 494; 127 I 54 consid. 2b p. 56). Le prévenu doit pouvoir consulter le dossier pour connaître préalablement les éléments dont dispose l'autorité et jouir ainsi d'une réelle possibilité de faire valoir ses arguments dans une procédure. Pour que cette consultation soit utile, le dossier doit être complet. Dans une procédure pénale, cela signifie que les moyens de preuve doivent être disponibles dans les pièces de l'instruction, en tous cas lorsqu'ils ne sont pas présentés directement lors des débats devant le tribunal, et que les modalités de leur établissement doivent être décrites dans le dossier afin que le prévenu soit en mesure d'examiner s'ils ne présentent pas des vices relatifs à la forme ou au contenu et que, le cas échéant, il puisse soulever une objection contre leur validité. C'est une condition pour qu'il puisse sauvegarder d'une manière générale ses droits de la défense, comme l'exige l' art. 32 al. 2 Cst. ( ATF 129 I 85 consid. 4.1 p. 88 s.). Le droit d'être entendu est également garanti par l' art. 3 al. 2 let . c CPP, qui a la même portée que l' art. 29 al. 2 Cst. (cf. MICHEL HOTTELIER, in Commentaire romand, Code de procédure pénale, 2011, n o 22 ad art. 3 CPP ). Concrétisant le droit d'être entendu ( art. 29 al. 2 Cst. ) ainsi que les garanties relatives à un procès équitable et aux droits de la défense ( art. 32 al. 2 Cst. et 6 par. 3 CEDH), l'accès au dossier est en outre garanti en procédure pénale aux parties de manière générale par les art. 101 al. 1 et 107 al. 1 let. a CPP (arrêt 1B_445/2012 consid. 3.2). Le droit d'être entendu est une garantie constitutionnelle de nature formelle dont la violation doit en principe entraîner l'annulation de la décision attaquée, indépendamment des chances de succès du recours sur le fond ( ATF 135 I 187 consid. 2.2 p. 190).</w:t>
      </w:r>
    </w:p>
    <w:p>
      <w:r>
        <w:rPr>
          <w:b/>
        </w:rPr>
        <w:t>E. 1.2</w:t>
      </w:r>
    </w:p>
    <w:p>
      <w:r>
        <w:t>En substance, la cour cantonale a retenu que les réquisitions de preuve du recourant, déposées au stade de sa déclaration d'appel, étaient tardives. En outre, une appréciation anticipée des preuves lui permettait de retenir que les requêtes de preuve du recourant n'étaient pas pertinentes.</w:t>
      </w:r>
    </w:p>
    <w:p>
      <w:r>
        <w:rPr>
          <w:b/>
        </w:rPr>
        <w:t>E. 1.3</w:t>
      </w:r>
    </w:p>
    <w:p>
      <w:r>
        <w:t>S'agissant de la trace d'oreille retrouvée sur la porte de l'appartement cambriolé le 20 juin 2011 et les empreintes d'oreille prélevées sur le recourant, le droit de consulter le dossier du recourant a été violé. En tant que moyen de preuve, ces éléments devaient être disponibles dans les pièces du dossier. Le rapport de police faisant état de leur existence et affirmant leur correspondance n'est à cet égard pas suffisant. En effet, il ne permet pas au recourant de vérifier les modalités de son établissement et d'examiner s'il ne présente pas des vices dans l'appréciation à laquelle il a été procédé. Cela a empêché le recourant de soulever une objection contre sa validité. L'argument de la cour cantonale selon lequel la demande de production de ces éléments est tardive tombe à faux. En effet, selon la jurisprudence, le prévenu peut se borner à contester la validité d'un moyen de preuve sans avoir auparavant requis la réparation du vice dont il se prévaut, y compris au stade de la procédure d'appel ( ATF 129 I 85 consid. 4.4). Il doit toutefois le faire dans le respect des règles de la procédure applicable. Or, en l'espèce, le recourant a requis la production de la trace recueillie sur la porte de l'appartement et des empreintes de ses oreilles dans sa déclaration d'appel. Il a ainsi respecté les prescriptions de l' art. 399 al. 3 let . c CPP qui impose à l'appelant d'indiquer dans sa déclaration d'appel ses réquisitions de preuves. La requête de l'appelant n'était ainsi pas tardive, l' art. 389 al. 3 CPP permettant en outre à l'autorité d'appel d'administrer, d'office ou à la demande d'une partie, les preuves complémentaires nécessaires au traitement du recours. La cour cantonale ne pouvait pas non plus se fonder sur une appréciation anticipée des preuves pour retenir que la preuve n'était pas pertinente dès lors qu'elle s'est elle-même fondée sur cette preuve pour retenir que le cambriolage du 20 juin 2011 avait été commis par le recourant. Bien fondé, le recours doit être admis pour violation du droit d'être entendu du recourant. L'arrêt attaqué est annulé et la cause renvoyée à l'autorité cantonale pour qu'elle ordonne le versement au dossier de la trace d'oreille retrouvée sur la porte de l'appartement cambriolé le 20 juin 2011 et les empreintes d'oreille prélevées sur le recourant et pour qu'elle donne accès à ces éléments au recourant. Pour le surplus, en l'absence de toute description, que ce soit dans le rapport de police ou dans les déclarations de l'inspectrice, de la méthode utilisée par celle-ci pour aboutir à la conclusion que la trace d'oreille relevée sur la porte de l'appartement avait été faite par le recourant, il n'est pas possible de juger de la validité scientifique de ladite méthode, ce qui constitue également une violation du droit d'être entendu du recourant. Cette question est une question technique qui nécessite la mise en oeuvre d'une expertise au sens de l' art. 182 CPP que la cour cantonale devait ordonner, le cas échéant, d'office en application de l' art. 389 al. 3 CPP dans la mesure où la trace d'oreille était l'élément de preuve principal sur lequel elle s'est fondée pour condamner le recourant. En effet, en l'absence de cette trace, les autres indices sur lesquels la cour cantonale s'est fondée, soit la présence en Suisse du recourant au moment des faits, la commission de quatre autres cambriolages postérieurs de plusieurs mois à celui du 20 juin 2011 et les dénégations du recourant, n'étaient pas suffisants pour retenir que le recourant avait commis le cambriolage du 20 juin 2011. Par conséquent, dans le cadre du renvoi, il appartiendra à la cour cantonale d'examiner avec attention la problématique de la méthode utilisée et de la validité scientifique de celle-ci dans le cas concret, au besoin, en ayant recours à une expertise.</w:t>
      </w:r>
    </w:p>
    <w:p>
      <w:r>
        <w:rPr>
          <w:b/>
        </w:rPr>
        <w:t>E. 2</w:t>
      </w:r>
    </w:p>
    <w:p>
      <w:r>
        <w:t>Le recours dois être admis pour violation du droit d'être entendu du recourant. L'arrêt attaqué est annulé et la cause est renvoyée à l'autorité cantonale pour nouvelle instruction et nouvelle décision. Au vu du sort du recours, il n'y a pas lieu d'examiner les autres griefs soulevés par le recourant qui deviennent sans objet. Le recourant obtient gain de cause. Il ne supporte pas de frais (art. 65 al. 2 et 66 al. 1 LTF). Il peut prétendre à de pleins dépens à charge du canton, l'intimée ayant renoncé à se déterminer ( art. 68 al. 1 LTF ). La requête d'assistance judiciaire est sans objet ( art. 64 al. 2 LTF ).</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