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6B_123/2012 vom 31. Mai 2012</w:t>
      </w:r>
    </w:p>
    <w:p>
      <w:r>
        <w:t>Bundesgericht, 2012-05-31, DE</w:t>
      </w:r>
    </w:p>
    <w:p>
      <w:r>
        <w:rPr>
          <w:b/>
        </w:rPr>
        <w:t xml:space="preserve">Quelle: </w:t>
      </w:r>
      <w:r>
        <w:t>https://mcp.opencaselaw.ch/entscheid/bger_6B_123_2012</w:t>
      </w:r>
    </w:p>
    <w:p>
      <w:r>
        <w:t>FR: TF 6B_123/2012 du 31 mai 2012</w:t>
      </w:r>
    </w:p>
    <w:p>
      <w:r>
        <w:t>IT: TF 6B_123/2012 del 31 maggio 2012</w:t>
      </w:r>
    </w:p>
    <w:p>
      <w:pPr>
        <w:pStyle w:val="Heading2"/>
      </w:pPr>
      <w:r>
        <w:t>Erwägungen</w:t>
      </w:r>
    </w:p>
    <w:p>
      <w:r>
        <w:rPr>
          <w:b/>
        </w:rPr>
        <w:t>E. 1.1</w:t>
      </w:r>
    </w:p>
    <w:p>
      <w:r>
        <w:t>Der Beschwerdeführer rügt eine Verletzung seines Anspruchs auf rechtliches Gehör ( Art. 29 Abs. 2 BV ). Die Vorinstanz berücksichtige seine Vorbringen zu den Fahrtwegen der inkriminierten Taten nicht (Beschwerde S. 8 N. 5).</w:t>
      </w:r>
    </w:p>
    <w:p>
      <w:r>
        <w:rPr>
          <w:b/>
        </w:rPr>
        <w:t>E. 1.2</w:t>
      </w:r>
    </w:p>
    <w:p>
      <w:r>
        <w:t>Die Rüge der Verletzung des rechtlichen Gehörs ist unbegründet. Die Vorinstanz hat sich mit den Ausführungen des Beschwerdeführers zu den Fahrtstrecken auseinandergesetzt (Berufungseingabe vom 7. November 2011 S. 6 f. N. 6). Sie erwägt, es stehe zweifelsfrei fest, dass sich der Sachverhalt so zugetragen habe, wie ihn die erste Instanz festhalte. Daran vermöge auch der Einwand des Beschwerdeführers nichts zu ändern, die Fahrtstrecken seien realitätsfern. Dies schliesse jedenfalls nicht aus, dass er jene Strecken gefahren sei (Urteil S. 12 E. 2.4). Die Vorinstanz durfte sich darauf beschränken, in den wesentlichen Grundzügen darzulegen, weshalb sie anderer Auffassung als der Beschwerdeführer ist (hierzu BGE 136 I 229 E. 5.2 mit Hinweisen). Im Umstand, dass sie den ihm vorgeworfenen Sachverhalt trotz seiner Vorbringen als erwiesen erachtet, liegt keine Verletzung des rechtlichen Gehörs.</w:t>
      </w:r>
    </w:p>
    <w:p>
      <w:r>
        <w:rPr>
          <w:b/>
        </w:rPr>
        <w:t>E. 2.1</w:t>
      </w:r>
    </w:p>
    <w:p>
      <w:r>
        <w:t>Der Beschwerdeführer bestreitet, die beiden Fahrzeuge gelenkt zu haben. Er rügt, die Vorinstanz stelle den Sachverhalt offensichtlich falsch fest, würdige die Beweise willkürlich und verletze den Grundsatz "in dubio pro reo" (Beschwerde S. 4-9 N. 2-4 und N. 6).</w:t>
      </w:r>
    </w:p>
    <w:p>
      <w:r>
        <w:t>Der Beschwerdeführer macht im Wesentlichen geltend, es sei aktenwidrig, wenn die Vorinstanz davon ausgehe, der bei ihm sichergestellte Schlüssel Nr. 1 sei derjenige, welcher zuletzt benutzt worden sei (Beschwerde S. 4-6 N. 2). Zudem würdige die Vorinstanz sowohl die Aussagen von D.________ als auch diejenigen von C.________ willkürlich und lasse ausser Acht, dass ihn beide entlasteten (Beschwerde S. 7 ff. N. 3 f. und N. 6).</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sie, wenn sie willkürlich ist ( BGE 136 II 304 E. 2.4 S. 314 mit Hinweis).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134 I 140 E. 5.4 mit Hinweisen).</w:t>
      </w:r>
    </w:p>
    <w:p>
      <w:r>
        <w:t>Dem Grundsatz "in dubio pro reo" kommt in der vom Beschwerdeführer angerufenen Funktion als Beweiswürdigungsregel im Verfahren vor dem Bundesgericht keine über das Willkürverbot von Art. 9 BV hinausgehende selbstständige Bedeutung zu (vgl. BGE 127 I 38 E. 2a S. 41; 124 IV 86 E. 2a; je mit Hinweisen).</w:t>
      </w:r>
    </w:p>
    <w:p>
      <w:r>
        <w:t>Wird die Verletzung von Grundrechten (einschliesslich der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Auf appellatorische Kritik am angefochtenen Urteil tritt das Bundesgericht nicht ein ( Art. 106 Abs. 2 BGG ; BGE 137 IV 1 E. 4.2.3 S. 5 ; 136 I 65 E. 1.3.1; je mit Hinweis).</w:t>
      </w:r>
    </w:p>
    <w:p>
      <w:r>
        <w:rPr>
          <w:b/>
        </w:rPr>
        <w:t>E. 2.3</w:t>
      </w:r>
    </w:p>
    <w:p>
      <w:r>
        <w:t>Die vom Beschwerdeführer gegen die vorinstanzliche Beweiswürdigung erhobenen Einwände erschöpfen sich in unzulässiger appellatorischer Kritik. Er beschränkt sich darauf, wörtlich zu wiederholen, was er bereits im Berufungsverfahren geltend machte (bezüglich der Aktennotiz des Gerichtsschreibers vom 11. April 2011 oder der angeblichen Relay-Attacke, Berufungseingabe vom 7. November 2011 S. 3 f. N. 3 und Beschwerde S. 4-6 N. 2; der Aussagen von D.________, Berufungseingabe S. 4 f. N. 4 und Beschwerde S. 7 N. 3; und der Aussagen von C.________, Berufungseingabe S. 5 f. N. 5 und Beschwerde S. 7 f. N. 4) und setzt sich nicht mit den Ausführungen der Vorinstanz auseinander. Darauf ist nicht einzutreten. Seine Vorbringen sind ohnehin unbegründet. Die Vorinstanz nimmt unter Verweis auf die diesbezüglichen Erwägungen der ersten Instanz eine ausführliche Beweiswürdigung vor und setzt sich sorgfältig mit den Vorbringen des Beschwerdeführers auseinander (Urteil S. 6-12 E. 2.1-2.4; erstinstanzliches Urteil S. 5-12 E. 2.2-2.3). Sie gelangt willkürfrei zum Schluss, es stehe ohne Zweifel fest, dass sich der Sachverhalt so zugetragen habe, wie ihn die erste Instanz festhalte. Sie schliesst sodann keineswegs gestützt auf die Aussagen des Zeugen C.________ auf den Beschwerdeführer als Täter (Beschwerde S. 8 N. 4). Sie erwägt vielmehr, es sei durchaus möglich, dass sich der Zeuge getäuscht habe. Dieser habe anlässlich der erstinstanzlichen Verhandlung nicht sagen können, ob es sich bei der von ihm wahrgenommenen Person um den Beschwerdeführer gehandelt habe, was angesichts des langen Zeitablaufs und der im Tatzeitpunkt herrschenden Dunkelheit nicht erstaune (Urteil S. 11 E. 2.3.3.2).</w:t>
      </w:r>
    </w:p>
    <w:p>
      <w:r>
        <w:rPr>
          <w:b/>
        </w:rPr>
        <w:t>E. 3.1</w:t>
      </w:r>
    </w:p>
    <w:p>
      <w:r>
        <w:t>Der Beschwerdeführer macht geltend, die Verweigerung des bedingten Vollzugs der Geldstrafe sei unverhältnismässig. Die Vorinstanz lasse sein Wohlverhalten seit dem 7. Juli 2008 ausser Acht und beachte nicht, dass seine Vorstrafe Jahre zurückliege. Sie berücksichtige wesentliche Faktoren nicht, wie seinen einwandfreien, zivilen Leumund, sein intaktes Beziehungsnetz sowie den Umstand, dass er seit Jahren beim gleichen Arbeitgeber angestellt sei. Das Leugnen der Taten schliesse den bedingten Strafvollzug nicht aus (Beschwerde S. 10 N. 8).</w:t>
      </w:r>
    </w:p>
    <w:p>
      <w:r>
        <w:rPr>
          <w:b/>
        </w:rPr>
        <w:t>E. 3.2</w:t>
      </w:r>
    </w:p>
    <w:p>
      <w:r>
        <w:t>Das Gericht schiebt den Vollzug einer Geldstrafe in der Regel auf, wenn eine unbedingte Strafe nicht notwendig erscheint, um den Täter von der Begehung weiterer Verbrechen oder Vergehen abzuhalten ( Art. 42 Abs. 1 StGB ).</w:t>
      </w:r>
    </w:p>
    <w:p>
      <w:r>
        <w:t>Der Strafaufschub ist die Regel, von der grundsätzlich nur bei ungünstiger Prognose abgewichen werden darf.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 BGE 134 IV 1 E. 4.2.1 f. mit Hinweisen). Allerdings schliessen einschlägige Vorstrafen den bedingten Vollzug nicht notwendigerweise aus (Urteil 6B_820/2010 vom 31. Januar 2011 E. 1.3.2 mit Hinweis).</w:t>
      </w:r>
    </w:p>
    <w:p>
      <w:r>
        <w:t>Dem Gericht steht bei der Prüfung des künftigen Legalverhaltens ein Ermessensspielraum zu. Das Bundesgericht greift nur ein, wenn dieses sein Ermessen über- bzw. unterschreitet oder missbraucht und damit Bundesrecht verletzt ( BGE 134 IV 140 E. 4.2 S. 143 mit Hinweis).</w:t>
      </w:r>
    </w:p>
    <w:p>
      <w:r>
        <w:rPr>
          <w:b/>
        </w:rPr>
        <w:t>E. 3.3</w:t>
      </w:r>
    </w:p>
    <w:p>
      <w:r>
        <w:t>Es ist nicht zu beanstanden, dass die Vorinstanz die einschlägige Vorstrafe und die Administrativmassnahme vom 21. April 2005 wegen einer Geschwindigkeitsüberschreitung als erheblich ungünstige Elemente gewichtet (Urteil S. 13 f. E. 3.2). Der Beschwerdeführer war mit Strafbefehl des Bezirksamts Laufenburg vom 19. April 2006 wegen Fahrens in angetrunkenem Zustand zu einer Busse von Fr. 1'200.-- verurteilt worden. Wegen dieser Tat wurde ihm für die Dauer von drei Monaten der Führerausweis entzogen. Die Vorinstanz berücksichtigt zu Recht, dass die Vorstrafe und die Administrativmassnahmen keine Warnwirkung auf den Beschwerdeführer hatten. Dass sie von fehlender Einsicht und Reue ausgeht, insbesondere auch weil er die zu beurteilenden Taten trotz erdrückender Beweislage hartnäckig bestreitet, ist richtig. Soweit der Beschwerdeführer geltend macht, er habe sich nach der Ausfällung des vorinstanzlichen Urteils wohlverhalten, liegt ein unzulässiges Novum vor ( Art. 99 Abs. 1 BGG ).</w:t>
      </w:r>
    </w:p>
    <w:p>
      <w:r>
        <w:t>Inwiefern die vom Beschwerdeführer angeführten stabilen beruflichen und privaten Verhältnisse an der vorinstanzlichen Einschätzung der Legalprognose etwas zu ändern vermögen, ist nicht ersichtlich. Diese grundsätzlich positiven Umstände konnten ihn bereits in der Vergangenheit nicht davon abhalten, gegen das Strassenverkehrsrecht zu verstossen.</w:t>
      </w:r>
    </w:p>
    <w:p>
      <w:r>
        <w:t>Indem die Vorinstanz eine günstige Prognose für das künftige Wohlverhalten des Beschwerdeführers verneint, verletzt sie kein Bundesrecht.</w:t>
      </w:r>
    </w:p>
    <w:p>
      <w:r>
        <w:rPr>
          <w:b/>
        </w:rPr>
        <w:t>E. 4</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