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1238/2018 vom 16. Januar 2019</w:t>
      </w:r>
    </w:p>
    <w:p>
      <w:r>
        <w:t>Bundesgericht, 2019-01-16, FR</w:t>
      </w:r>
    </w:p>
    <w:p>
      <w:r>
        <w:rPr>
          <w:b/>
        </w:rPr>
        <w:t xml:space="preserve">Quelle: </w:t>
      </w:r>
      <w:r>
        <w:t>https://mcp.opencaselaw.ch/entscheid/bger_6B_1238_2018</w:t>
      </w:r>
    </w:p>
    <w:p>
      <w:r>
        <w:t>FR: TF 6B 1238/2018 du 16 janvier 2019</w:t>
      </w:r>
    </w:p>
    <w:p>
      <w:r>
        <w:t>IT: TF 6B 1238/2018 del 16 gennaio 2019</w:t>
      </w:r>
    </w:p>
    <w:p>
      <w:pPr>
        <w:pStyle w:val="Heading2"/>
      </w:pPr>
      <w:r>
        <w:t>Regeste</w:t>
      </w:r>
    </w:p>
    <w:p>
      <w:r>
        <w:t>Décision de non-entrée en matière (gestion fautive)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 recourant a déposé un recours constitutionnel subsidiaire à côté du recours en matière pénale. L'arrêt attaqué est un jugement final ( art. 90 LTF ) rendu dans une cause de droit pénal. Il est donc susceptible de faire l'objet d'un recours en matière pénale ( art. 78 ss LTF ), qui peut notamment être formé pour violation du droit fédéral, y compris l'interdiction de l'arbitraire ( art. 95 let. a LTF ). Le recours constitutionnel subsidiaire formé par A.________ est donc exclu ( art. 113 LTF a contrario). Il convient toutefois d'examiner l'ensemble des griefs soulevés par le recourant dans la procédure du recours en matière pénale, l'intitulé erroné d'un recours ne nuisant pas à son auteur, si les conditions d'une conversion en la voie de droit adéquate sont réunies ( ATF 131 I 291 consid. 1.3 p. 296; 126 II 506 consid. 1b p. 509 et les arrêts cités).</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pp. 4 s.).</w:t>
      </w:r>
    </w:p>
    <w:p>
      <w:r>
        <w:rPr>
          <w:b/>
        </w:rPr>
        <w:t>E. 1.2.2</w:t>
      </w:r>
    </w:p>
    <w:p>
      <w:r>
        <w:t>En l'espèce, le recourant dénonce la commission de l'infraction de gestion fautive ( art. 165 CP ). Il expose que, le 17 juin 2017, son épouse lui a cédé toutes ses créances contre X.________. Il fait valoir contre X.________ une créance de 6'420 fr. pour occupation illicite pour les mois de juillet, août et septembre 2017 ainsi qu'une créance de 4'476 fr. 60 pour les frais d'évacuation forcée. Il invoque également une créance de 8'112 fr. 30 pour les loyers non payés. En tant que créancier (cessionnaire), il est directement touché par d'éventuels actes de gestion fautive commis par l'intimée postérieurement à la cession (cf. arrêt 6B_507/2018 consid. 2.3 dans cette cause), dans la mesure où ceux-ci aggravent son insolvabilité. Les conditions posées à l' art. 81 al. 1 LTF sont donc réalisées, de sorte qu'il y a lieu d'entrer en matière sur le recours.</w:t>
      </w:r>
    </w:p>
    <w:p>
      <w:r>
        <w:rPr>
          <w:b/>
        </w:rPr>
        <w:t>E. 2</w:t>
      </w:r>
    </w:p>
    <w:p>
      <w:r>
        <w:t>Le recourant reproche à la cour cantonale d'avoir omis, de manière arbitraire, des éléments propres à modifier l'issue du litige.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selon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en matière sur les moyens fondés sur la violation de droits fondamentaux, dont l'interdiction de l'arbitraire, que s'ils ont été invoqués et motivés de manière précise ( art. 106 al. 2 LTF ), les critiques de nature appellatoire étant irrecevables ( ATF 142 III 364 consid. 2.4 p. 368).</w:t>
      </w:r>
    </w:p>
    <w:p>
      <w:r>
        <w:rPr>
          <w:b/>
        </w:rPr>
        <w:t>E. 2.2</w:t>
      </w:r>
    </w:p>
    <w:p>
      <w:r>
        <w:t>Le recourant soutient que la cour cantonale n'a pas pris en compte, sans raison sérieuse, des éléments propres à modifier les conclusions de l'arrêt attaqué et demande que l'état de fait cantonal soit rectifié sur ces points. Il énumère certains faits qui ressortiraient du dossier et qui seraient selon lui déterminants pour l'issue du litige. Le recours ne comporte toutefois aucune démonstration du caractère manifestement inexact ou incomplet de l'état de fait de la décision attaquée, de sorte qu'il n'y a pas lieu de prendre en considération d'autres faits que ceux retenus dans l'arrêt attaqué.</w:t>
      </w:r>
    </w:p>
    <w:p>
      <w:r>
        <w:rPr>
          <w:b/>
        </w:rPr>
        <w:t>E. 3</w:t>
      </w:r>
    </w:p>
    <w:p>
      <w:r>
        <w:t>Dénonçant une violation de l' art. 310 CPP , le recourant conteste la décision de non-entrée en matière.</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3.2</w:t>
      </w:r>
    </w:p>
    <w:p>
      <w:r>
        <w:t>Selon l' art. 165 CP , celui qui, de manières autres que celles visées à l' art. 164 CP (diminution effective de l'actif au préjudice des créanciers),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 rend coupable de gestion fautive, s'il a été déclaré en faillite ou si un acte de défaut de biens a été dressé contre lui. L' art. 165 al. 1 CP mentionne comme faute de gestion les dépenses exagérées. Les dépenses peuvent apparaître exagérées en fonction des ressources du débiteur, mais aussi en tenant compte de leur faible justification commerciale (arrêts 6B_920/2018 du 23 novembre 2018 consid. 3.1; 6B_765/2011 du 24 mai 2012 consid. 2.1.1). Un particulier soumis à la saisie effectue des dépenses exagérées s'il fait des achats qui excèdent à l'évidence les ressources qu'il peut raisonnablement espérer (BERNARD CORBOZ, Les infractions en droit suisse, vol. I, Berne 2010, 3e éd., n° 24 ad art. 165 CP ). N'importe quelle dépense déraisonnable ne constitue toutefois pas encore une dépense exagérée; pour tomber sous le coup de l' art. 165 CP , les dépenses doivent être exorbitantes et sans justification (PETER HERREN, Die Misswirtschaft gemäss Art. 165 StGB, 2006, p. 72). La négligence coupable dans l'administration de ses biens se rapporte à la gestion du patrimoine personnel. Elle sera généralement caractérisée par des dépenses exagérées, l'utilisation à la légère de crédit ou des spéculations hasardeuses.</w:t>
      </w:r>
    </w:p>
    <w:p>
      <w:r>
        <w:rPr>
          <w:b/>
        </w:rPr>
        <w:t>E. 3.3</w:t>
      </w:r>
    </w:p>
    <w:p>
      <w:r>
        <w:t>En l'espèce, le minimum vital de X.________ a été arrêté à 5'036 fr. 35 et ses gains provenant d'un contrat de durée déterminée étaient au maximum de 5'100 fr. par mois. La situation financière de la débitrice était donc difficile. Dans ces conditions, le fait de contracter des dettes n'implique pas nécessairement une mauvaise gestion au sens de l' art. 165 CP . Dans le présent cas, la situation obérée qui se dégage des relevés de poursuite en cours ne laisse pas soupçonner que la débitrice dépenserait sans compter. En effet, les dettes mises en évidence par le recourant sur ces relevés se rapportent à des impayés notamment dus au fisc en 2016, à l'avocat qui représentait X.________ devant le Tribunal des baux et loyers, à une assurance-maladie et à un organisme de cautionnement de garantie de loyer. Il ne s'agit donc pas de dépenses exagérées pour des produits inutiles ou de luxe, mais de dépenses obligatoires, auxquelles la débitrice ne peut pas se soustraire. Pour le surplus, le recourant ne fait état d'aucune " dépense exagérée " au sens de l' art. 165 CP . Il reproche à X.________ d'avoir commis une négligence dans la gestion de ses biens, en n'utilisant pas ses revenus pour payer les loyers et indemnités pour occupation illicite et en continuant à occuper l'appartement, obligeant de la sorte le propriétaire à mandater un avocat pour entreprendre une procédure en revendication et évacuation et à mandater un huissier judiciaire. Les dépenses liées à l'occupation de l'appartement (loyers et indemnités pour occupation illicite) ne peuvent pas être qualifiées de " dépenses exagérées ". Il s'agit de dépenses nécessaires non exorbitantes; les autorités de poursuite ont du reste inclus le montant du loyer dans le calcul du minimum vital. Le fait de rester dans l'appartement, ce qui, selon le recourant, aurait augmenté les dettes de X.________, dans la mesure où les frais d'évacuation seraient mis à la charge de l'intéressée ne relève pas d'un comportement dénotant une légèreté blâmable ou une négligence dans l'administration des biens. Comme vu ci-dessus, le loyer n'était pas exorbitant et la débitrice devait se loger. On peut au demeurant douter que X.________ ait eu de la sorte la volonté et la conscience d'augmenter son insolvabilité.</w:t>
      </w:r>
    </w:p>
    <w:p>
      <w:r>
        <w:rPr>
          <w:b/>
        </w:rPr>
        <w:t>E. 3.4</w:t>
      </w:r>
    </w:p>
    <w:p>
      <w:r>
        <w:t>En conclusion, la cour cantonale n'a pas abusé de son pouvoir d'appréciation en retenant que les éléments constitutifs de l'infraction de gestion fautive n'étaient pas réalisés en l'espèce. L'arrêt attaqué ne viole donc pas le principe in dubio pro duriore et n'est entaché d'aucun arbitraire dans l'établissement des faits.</w:t>
      </w:r>
    </w:p>
    <w:p>
      <w:r>
        <w:rPr>
          <w:b/>
        </w:rPr>
        <w:t>E. 4</w:t>
      </w:r>
    </w:p>
    <w:p>
      <w:r>
        <w:t>Le recours en matière pénale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