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6B_1237/2016 vom 11. November 2016</w:t>
      </w:r>
    </w:p>
    <w:p>
      <w:r>
        <w:t>Bundesgericht, 2016-11-11, FR</w:t>
      </w:r>
    </w:p>
    <w:p>
      <w:r>
        <w:rPr>
          <w:b/>
        </w:rPr>
        <w:t xml:space="preserve">Quelle: </w:t>
      </w:r>
      <w:r>
        <w:t>https://mcp.opencaselaw.ch/entscheid/bger_6B_1237_2016</w:t>
      </w:r>
    </w:p>
    <w:p>
      <w:r>
        <w:t>FR: TF 6B_1237/2016 du 11 novembre 2016</w:t>
      </w:r>
    </w:p>
    <w:p>
      <w:r>
        <w:t>IT: TF 6B_1237/2016 del 11 novembre 2016</w:t>
      </w:r>
    </w:p>
    <w:p>
      <w:pPr>
        <w:pStyle w:val="Heading2"/>
      </w:pPr>
      <w:r>
        <w:t>Erwägungen</w:t>
      </w:r>
    </w:p>
    <w:p>
      <w:r>
        <w:rPr>
          <w:b/>
        </w:rPr>
        <w:t>E. 1.1</w:t>
      </w:r>
    </w:p>
    <w:p>
      <w:r>
        <w:t>Par arrêt du 27 septembre 2016, l'Autorité de recours en matière pénale du Tribunal cantonal neuchâtelois a annulé la décision de non-entrée en matière prononcée le 10 juin 2016 sur la plainte de A.________ contre X.________ et renvoyé le dossier au Ministère public en l'invitant à ouvrir l'action pénale. X.________ interjette un recours en matière pénale au Tribunal fédéral contre l'arrêt cantonal.</w:t>
      </w:r>
    </w:p>
    <w:p>
      <w:r>
        <w:rPr>
          <w:b/>
        </w:rPr>
        <w:t>E. 1.2</w:t>
      </w:r>
    </w:p>
    <w:p>
      <w:r>
        <w:t>Le renvoi de la cause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1.2.1</w:t>
      </w:r>
    </w:p>
    <w:p>
      <w:r>
        <w:t>A juste titre, le recourant ne prétend pas subir un préjudice juridique irréparable. Dans la procédure de recours en matière pénale, un préjudice irréparable se rapporte en effet à un dommage de nature juridique qui ne puisse pas être réparé ultérieurement par un jugement final ou une autre décision favorable au recourant ( ATF 137 IV 172 consid. 2.1 p. 173), en particulier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133 IV 139 consid. 4 p. 141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rPr>
          <w:b/>
        </w:rPr>
        <w:t>E. 1.2.2</w:t>
      </w:r>
    </w:p>
    <w:p>
      <w:r>
        <w:t>Par ailleurs, pour que les conditions prévues à l' art. 93 al. 1 let. b LTF soient réalisées, il faut que la procédure probatoire, par sa durée et son coût, s'écarte notablement des procès habituels, ce qui n'est pas le cas lorsque l'administration des preuves se limite à l'audition des parties, à la production de pièces ou à l'interrogatoire de quelques témoins (arrêts 4A_162/2015 du 9 septembre 2015 consid. 2.2; 2C_1007/2014 du 28 juillet 2015 consid. 2.2.3). Le Tribunal fédéral examine librement la question de savoir si les conditions de l' art. 93 al. 1 let. b LTF sont remplies ( ATF 134 II 142 consid. 1.2.3 p. 143). En outre, cette disposition doit faire l'objet d'une interprétation restrictive en matière pénale ( ATF 133 IV 288 consid. 3.2 p. 292). En l'occurrence, la nature du litige ne permet pas d'inférer que le renvoi litigieux entraîne une prolongation de la procédure et des coûts importants se distinguant notablement de ceux des procès habituels. Le recourant ne le prétend du reste pas.</w:t>
      </w:r>
    </w:p>
    <w:p>
      <w:r>
        <w:rPr>
          <w:b/>
        </w:rPr>
        <w:t>E. 1.3</w:t>
      </w:r>
    </w:p>
    <w:p>
      <w:r>
        <w:t>Cela étant, aucune des deux conditions alternatives auxquelles une décision incidente peut être contestée en vertu de l' art. 93 al. 1 LTF n'est réalisée, de sorte que l'arrêt attaqué ne peut pas faire l'objet d'un recours immédiat au Tribunal fédéral. Le présent recours doit par conséquent être déclaré irrecevable selon la procédure simplifiée prévue par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