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1236/2013 vom 10. April 2014</w:t>
      </w:r>
    </w:p>
    <w:p>
      <w:r>
        <w:t>Bundesgericht, 2014-04-10, FR</w:t>
      </w:r>
    </w:p>
    <w:p>
      <w:r>
        <w:rPr>
          <w:b/>
        </w:rPr>
        <w:t xml:space="preserve">Quelle: </w:t>
      </w:r>
      <w:r>
        <w:t>https://mcp.opencaselaw.ch/entscheid/bger_6B_1236_2013</w:t>
      </w:r>
    </w:p>
    <w:p>
      <w:r>
        <w:t>FR: TF 6B 1236/2013 du 10 avril 2014</w:t>
      </w:r>
    </w:p>
    <w:p>
      <w:r>
        <w:t>IT: TF 6B 1236/2013 del 10 aprile 2014</w:t>
      </w:r>
    </w:p>
    <w:p>
      <w:pPr>
        <w:pStyle w:val="Heading2"/>
      </w:pPr>
      <w:r>
        <w:t>Regeste</w:t>
      </w:r>
    </w:p>
    <w:p>
      <w:r>
        <w:t>Frais de justice | Procédure pénale</w:t>
      </w:r>
    </w:p>
    <w:p>
      <w:pPr>
        <w:pStyle w:val="Heading2"/>
      </w:pPr>
      <w:r>
        <w:t>Erwägungen</w:t>
      </w:r>
    </w:p>
    <w:p>
      <w:r>
        <w:rPr>
          <w:b/>
        </w:rPr>
        <w:t>E. 1</w:t>
      </w:r>
    </w:p>
    <w:p>
      <w:r>
        <w:t>La recourante consacre plusieurs pages de son mémoire à un libre exposé des faits. De la sorte, elle ne formule aucun grief recevable sous l'angle des art. 42 al. 2 et 106 al. 2 LTF. Elle introduit également des faits nouveaux, ce qui est irrecevable ( art. 99 al. 1 LTF ).</w:t>
      </w:r>
    </w:p>
    <w:p>
      <w:r>
        <w:rPr>
          <w:b/>
        </w:rPr>
        <w:t>E. 2</w:t>
      </w:r>
    </w:p>
    <w:p>
      <w:r>
        <w:t>Selon l' art. 112 al. 1 let. b LTF , les décisions qui peuvent faire l'objet d'un recours au Tribunal fédéral doivent indiquer "les motifs déterminants de fait et de droit" sur lesquels l'autorité s'est fondée. Si la décision attaquée ne satisfait pas à ces exigences, le Tribunal fédéral peut soit la renvoyer à l'autorité cantonale en invitant celle-ci à la parfaire, soit l'annuler ( art. 112 al. 3 LTF ). Le jugement attaqué ne contient aucun état de fait, alors que les faits ont été contestés par la recourante dans le cadre de son appel, celle-ci s'étant en particulier prévalue de faits justificatifs. Sur la question litigieuse des frais de première instance, la cour cantonale a uniquement indiqué les laisser à la charge de la recourante pour le motif qu'une faute civile pouvait être reprochée à celle-ci, qui avait porté une atteinte physique à sa soeur. On ignore en particulier sur quelle base factuelle la cour s'est fondée. Elle ne dit rien non plus du fondement juridique, étant rappelé que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 ATF 119 Ia 332 consid. 1b p. 334; 116 Ia 162 consid. 2c p. 168). Le jugement attaqué est insuffisant ( art. 112 al. 3 LTF ). Au vu de l'état de fait lacunaire et de l'absence de motivation, le Tribunal fédéral ne peut contrôler la bonne application du droit fédéral relativement à l' art. 426 al. 2 CPP . Il convient donc d'annuler le jugement attaqué et de renvoyer la cause à l'autorité précédente afin qu'elle expose un état de fait et motive sa décision. Dans cette configuration, le Tribunal fédéral peut procéder au renvoi sans avoir préalablement ordonné un échange d'écritures (cf. ATF 133 IV 293 consid. 3.4.2 p. 296).</w:t>
      </w:r>
    </w:p>
    <w:p>
      <w:r>
        <w:rPr>
          <w:b/>
        </w:rPr>
        <w:t>E. 3</w:t>
      </w:r>
    </w:p>
    <w:p>
      <w:r>
        <w:t>Le recours doit être admis dans la mesure où il est recevable. Il n'est pas perçu de frais et la recourante peut prétendre à des dépens à la charge du canton de Vaud.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