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1235/2020 vom 5. Mai 2021</w:t>
      </w:r>
    </w:p>
    <w:p>
      <w:r>
        <w:t>Bundesgericht, 2021-05-05, DE</w:t>
      </w:r>
    </w:p>
    <w:p>
      <w:r>
        <w:rPr>
          <w:b/>
        </w:rPr>
        <w:t xml:space="preserve">Quelle: </w:t>
      </w:r>
      <w:r>
        <w:t>https://mcp.opencaselaw.ch/entscheid/bger_6B_1235_2020</w:t>
      </w:r>
    </w:p>
    <w:p>
      <w:r>
        <w:t>FR: TF 6B 1235/2020 du 5 mai 2021</w:t>
      </w:r>
    </w:p>
    <w:p>
      <w:r>
        <w:t>IT: TF 6B 1235/2020 del 5 maggio 2021</w:t>
      </w:r>
    </w:p>
    <w:p>
      <w:pPr>
        <w:pStyle w:val="Heading2"/>
      </w:pPr>
      <w:r>
        <w:t>Regeste</w:t>
      </w:r>
    </w:p>
    <w:p>
      <w:r>
        <w:t>Veruntreuung; Urkundenfälschung; Beschwerdelegitimation der Privatklägerin | Straftaten</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141 IV 1 E. 1.1). Der angefochtene Entscheid kann sich auf die Beurteilung der im Strafverfahren adhäsionsweise geltend gemachten bzw. noch geltend zu machenden Zivilforderungen dann nicht mehr auswirken, wenn das Strafverfahren im Zivilpunkt bereits erledigt ist, weil die Zivilforderungen z.B. rechtskräftig auf den Zivilweg verwiesen wurden (Urteile 6B_1280/2020 vom 3. Februar 2021 E. 1.2; 6B_305/2020 und 6B_321/2020 vom 1. Oktober 2020 E. 2.1; 6B_92/2019 vom 21. März 2019 E. 3; 6B_595/2018 vom 28. November 2018 E. 3 und 4; je mit Hinweisen).</w:t>
      </w:r>
    </w:p>
    <w:p>
      <w:r>
        <w:rPr>
          <w:b/>
        </w:rPr>
        <w:t>E. 1.2</w:t>
      </w:r>
    </w:p>
    <w:p>
      <w:r>
        <w:t>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w:t>
      </w:r>
    </w:p>
    <w:p>
      <w:r>
        <w:rPr>
          <w:b/>
        </w:rPr>
        <w:t>E. 1.3</w:t>
      </w:r>
    </w:p>
    <w:p>
      <w:r>
        <w:t>Die Beschwerdeführerin hat sich im kantonalen Strafverfahren gegen den Beschwerdegegner 1 als Straf- und Zivilklägerin beteiligt. Vor erster Instanz hat sie Schadenersatz in der Höhe von Fr. 95'867.50 geltend gemacht. In ihrer Berufungserklärung vom 24. September 2019 machte sie für das vorinstanzliche Verfahren Schadenersatz in der Höhe von Fr. 76'830.60 geltend, änderte dieses Begehren jedoch am 31. Oktober 2019 dahingehend ab, als sie neu beantragte, ihr Anspruch auf Schadenersatz sei im Grundsatz zu bestätigen und hinsichtlich der Höhe der Forderung auf den Zivilweg zu verweisen. Zur Begründung brachte sie an, die vollständige Beurteilung des Zivilanspruchs erscheine als unverhältnismässig aufwendig. Sowohl das erstinstanzliche Gericht als auch die Vorinstanz sprachen den Beschwerdegegner 1 vom Vorwurf der mehrfachen Veruntreuung und der mehrfachen Urkundenfälschung frei und verwiesen die Zivilforderungen jeweils auf den Zivilweg (siehe B. oben). Die vorinstanzliche Verweisung der Zivilforderung auf den Zivilweg (Dispositivziffer 2), welche die Beschwerdeführerin vor Bundesgericht nicht anficht, ist demzufolge in Rechtskraft erwachsen. Der angefochtene Entscheid kann sich auf die Beurteilung der im Strafverfahren geltend gemachten Zivilforderungen somit nicht mehr auswirken, da das Strafverfahren im Zivilpunkt als bereits erledigt zu gelten hat (vgl. E. 1.1 oben).</w:t>
      </w:r>
    </w:p>
    <w:p>
      <w:r>
        <w:rPr>
          <w:b/>
        </w:rPr>
        <w:t>E. 1.4</w:t>
      </w:r>
    </w:p>
    <w:p>
      <w:r>
        <w:t>Die Beschwerdeführerin macht keine formelle Rechtsverweigerung im Sinne der sogenannten "Star-Praxis" geltend (siehe dazu BGE 141 IV 1 E. 1.1; 138 IV 78 E. 1.3; 136 IV 29 E. 1.9; je mit Hinweisen), die sie unbesehen ihrer fehlenden Legitimation in der Sache vor Bundesgericht rügen könnte.</w:t>
      </w:r>
    </w:p>
    <w:p>
      <w:r>
        <w:rPr>
          <w:b/>
        </w:rPr>
        <w:t>E. 2</w:t>
      </w:r>
    </w:p>
    <w:p>
      <w:r>
        <w:t>Auf die Beschwerde ist im Verfahren nach Art. 109 BGG nicht einzutreten. Bei diesem Ausgang des Verfahrens sind der Beschwerdeführerin die Gerichtskosten aufzuerlegen ( Art. 66 Abs. 1 BGG ).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