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6B_1235/2015 vom 8. Dezember 2015</w:t>
      </w:r>
    </w:p>
    <w:p>
      <w:r>
        <w:t>Bundesgericht, 2015-12-08, DE</w:t>
      </w:r>
    </w:p>
    <w:p>
      <w:r>
        <w:rPr>
          <w:b/>
        </w:rPr>
        <w:t xml:space="preserve">Quelle: </w:t>
      </w:r>
      <w:r>
        <w:t>https://mcp.opencaselaw.ch/entscheid/bger_6B_1235_2015</w:t>
      </w:r>
    </w:p>
    <w:p>
      <w:r>
        <w:t>FR: TF 6B_1235/2015 du 8 décembre 2015</w:t>
      </w:r>
    </w:p>
    <w:p>
      <w:r>
        <w:t>IT: TF 6B_1235/2015 del 8 dicembre 2015</w:t>
      </w:r>
    </w:p>
    <w:p>
      <w:pPr>
        <w:pStyle w:val="Heading2"/>
      </w:pPr>
      <w:r>
        <w:t>Erwägungen</w:t>
      </w:r>
    </w:p>
    <w:p>
      <w:r>
        <w:rPr>
          <w:b/>
        </w:rPr>
        <w:t>E. 1</w:t>
      </w:r>
    </w:p>
    <w:p>
      <w:r>
        <w:t>Der Beschwerdeführer erstattete am 4. Oktober 2014 bei der Kantonspolizei Zürich eine Strafanzeige gegen eine Bank wegen Betrugs, Fälschung und Lüge. Die Bank habe im Rahmen seiner Vermögensverwaltung Verträge falsch ausgelegt und die Richtlinien für Vermögensverwaltungsaufträge missachtet.</w:t>
      </w:r>
    </w:p>
    <w:p>
      <w:r>
        <w:t>Die Staatsanwaltschaft See/Oberland nahm die Untersuchung am 23. Februar 2015 nicht an die Hand und verwies eine allfällige Zivilklage auf den Zivilweg. Eine dagegen gerichtete Beschwerde wies das Obergericht des Kantons Zürich am 23. Oktober 2015 ab.</w:t>
      </w:r>
    </w:p>
    <w:p>
      <w:r>
        <w:t>Der Beschwerdeführer wendet sich mit Eingabe vom 27. November 2015 ans Bundesgericht, ohne einen ausdrücklichen Antrag zu stellen. Offensichtlich steht er eine Verurteilung der Beschuldigten an.</w:t>
      </w:r>
    </w:p>
    <w:p>
      <w:r>
        <w:rPr>
          <w:b/>
        </w:rPr>
        <w:t>E. 2</w:t>
      </w:r>
    </w:p>
    <w:p>
      <w:r>
        <w:t>Das Bundesgericht trat im vorliegenden Zusammenhang bereits mit Urteil 6B_879/2015 vom 10. September 2015 auf eine Beschwerde nicht ein, weil der Beschwerdeführer trotz Aufforderung, den von ihm angefochtenen Entscheid nachzureichen, sich nicht mehr gemeldet hatte. Mit seiner neuen Eingabe vom 27. November 2015 macht er geltend, er habe sich seinerzeit nicht mehr gemeldet, weil er vom Obergericht nichts erhalten habe. In der Zwischenzeit liege nun mit dem Beschluss vom 23. Oktober 2015 ein Entscheid vor, den er anfechten möchte. Er legt seiner Eingabe diesen Beschluss bei. Es kann offenbleiben, ob die Angelegenheit nochmals geprüft werden kann, weil auch auf die neue Eingabe von vornherein nicht einzutreten ist.</w:t>
      </w:r>
    </w:p>
    <w:p>
      <w:r>
        <w:rPr>
          <w:b/>
        </w:rPr>
        <w:t>E. 3</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Der Beschwerdeführer äussert sich vor Bundesgericht zur Frage der Legitimation und zur allfälligen Zivilforderung nicht. Sein lapidarer Hinweis auf angeblich verschwundene Fr. 750'000.-- genügt den strengen Begründungsanforderungen nicht. Auf die Beschwerde ist mangels hinreichend begründeter Legitimation im Verfahren nach Art. 108 BGG nicht einzutreten.</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