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6B_1235/2013 vom 19. Juni 2014</w:t>
      </w:r>
    </w:p>
    <w:p>
      <w:r>
        <w:t>Bundesgericht, 2014-06-19, DE</w:t>
      </w:r>
    </w:p>
    <w:p>
      <w:r>
        <w:rPr>
          <w:b/>
        </w:rPr>
        <w:t xml:space="preserve">Quelle: </w:t>
      </w:r>
      <w:r>
        <w:t>https://mcp.opencaselaw.ch/entscheid/bger_6B_1235_2013</w:t>
      </w:r>
    </w:p>
    <w:p>
      <w:r>
        <w:t>FR: TF 6B_1235/2013 du 19 juin 2014</w:t>
      </w:r>
    </w:p>
    <w:p>
      <w:r>
        <w:t>IT: TF 6B_1235/2013 del 19 giugno 2014</w:t>
      </w:r>
    </w:p>
    <w:p>
      <w:pPr>
        <w:pStyle w:val="Heading2"/>
      </w:pPr>
      <w:r>
        <w:t>Erwägungen</w:t>
      </w:r>
    </w:p>
    <w:p>
      <w:r>
        <w:rPr>
          <w:b/>
        </w:rPr>
        <w:t>E. 1</w:t>
      </w:r>
    </w:p>
    <w:p>
      <w:r>
        <w:t>In der Beschwerde ist in gedrängter Form darzulegen, inwiefern der angefochtene Akt Recht verletzt ( Art. 42 Abs. 2 BGG ). Strengere Anforderungen gelten, wenn die Verletzung von Grundrechten einschliesslich willkürlicher Sachverhaltsfeststellung gerügt werden ( Art. 106 Abs. 2 BGG ; BGE 138 I 171 E. 1.4; 134 II 244 E. 2.1 und 2.2). Allgemein gehaltene Einwände, lediglich erneute Bekräftigungen des im kantonalen Verfahren eingenommenen Standpunkts oder die blosse Behauptung des Gegenteils genügen nicht (Urteil 6B_557/2012 vom 7. Mai 2013 E. 1).</w:t>
      </w:r>
    </w:p>
    <w:p>
      <w:r>
        <w:t>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bedeutet willkürlich ( BGE 137 III 226 E. 2.4 S. 234). Genügt die Beschwerde diesen Anforderungen nicht, ist darauf nicht einzutreten ( BGE 137 IV 1 E. 4.2.3 S. 5; ausführlich BGE 140 III 86 E. 2).</w:t>
      </w:r>
    </w:p>
    <w:p>
      <w:r>
        <w:rPr>
          <w:b/>
        </w:rPr>
        <w:t>E. 2</w:t>
      </w:r>
    </w:p>
    <w:p>
      <w:r>
        <w:t>Der Beschwerdeführer macht geltend, die Schuldsprüche wegen Widerhandlungen gegen das BetmG (Dispositiv-Ziff. II/1.1 und II/1.2) seien beweismässig nicht erstellt. Die Anschuldigungen beruhten auf Aussagen von D.________, dessen Lieferant er nicht gewesen sei. Er habe nicht gewusst, wieso und warum er diesen habe "herumchauffieren" müssen. Die Vorinstanz habe D.________ als glaubwürdig erachtet und gänzlich ausser Acht gelassen, dass es sich bei ihm um einen vorbestraften Drogendealer handelte. B.________, eine im Drogenmillieu bekannte Person, habe dessen Aussagen nur bedingt bestätigt. Ihre Aussagen widersprächen sich grösstenteils. Die Vorinstanz verkenne, dass er lediglich von D.________ belastet werde. Mit den Überwachungen seien keine Straftaten festgestellt worden. Alles deute auf einen Rachefeldzug von D.________ hin.</w:t>
      </w:r>
    </w:p>
    <w:p>
      <w:r>
        <w:t>Die Vorinstanz würdigt die Sache eingehend (Urteil S. 12 - 32). Der Beschwerdeführer setzt sich damit nicht auseinander und belegt keine willkürliche Beweiswürdigung (zum Begriff der Willkür BGE 134 I 140 E. 5.4 S. 148). Darauf ist nicht einzutreten (oben E. 1).</w:t>
      </w:r>
    </w:p>
    <w:p>
      <w:r>
        <w:rPr>
          <w:b/>
        </w:rPr>
        <w:t>E. 3</w:t>
      </w:r>
    </w:p>
    <w:p>
      <w:r>
        <w:t>Der Beschwerdeführer richtet sich gegen den Schuldspruch wegen Widerhandlung gegen das BetmG gemäss Dispositiv-Ziff. II/2. Die bei einer Hausdurchsuchung gefundenen Drogen seien von Unbekannten an der Stossstange bzw. einem Rad seines Autos angebracht worden. Dort habe er sie "vor über einem Jahr" gefunden. Er habe C.________ von der Polizei angerufen. Dieser habe aber erklärt, dass er ihn (den Beschwerdeführer) kenne, jedoch nie von ihm wegen Drogen kontaktiert worden sei. Das habe die Staatsanwaltschaft entgegen Art. 6 StPO nicht weiter überprüft, sondern die Anklage auf die Hausdurchsuchung und die Aussagen der Polizisten gestützt. Die Vorinstanz habe seinen Antrag auf Befragung von C.________ abgewiesen.</w:t>
      </w:r>
    </w:p>
    <w:p>
      <w:r>
        <w:t>Einerseits rügt der Beschwerdeführer die Abweisung des Beweisantrags in antizipierter Beweiswürdigung nicht (Urteil S. 22). Andererseits stellte er an der Berufungsverhandlung keine Beweisergänzungsanträge (oben Bst. B.b; obergerichtliches Urteil S. 8, Ziff. 19) und akzeptierte damit die Abweisung. Verfahrensrechtliche Rügen, die in einem früheren Verfahrensstadium vorzubringen gewesen wären, können nicht mehr vor Bundesgericht geltend gemacht werden ( BGE 135 III 334 E. 2.2; Urteil 6B_1071/2013 vom 11. April 2014 E. 1.2).</w:t>
      </w:r>
    </w:p>
    <w:p>
      <w:r>
        <w:t>Der Besitz nicht zum Selbstgebrauch von 0,7 g Heroingemisch und 4,8 g Marihuana (Urteil S. 13, 30) ist nachgewiesen. Die Vorinstanz beurteilt die Angaben des Beschwerdeführers als kaum nachvollziehbar und schlicht weltfremd, insbesondere dass er die Drogen ein Jahr lang in seiner Küchenschublade aufbewahrt habe. Der Polizeibeamte C.________ habe sich nicht erinnern können, dass der Beschwerdeführer den Fund gemeldet hätte (Urteil S. 22). Eine Verletzung des Grundsatzes in dubio pro reo ist nicht ersichtlich.</w:t>
      </w:r>
    </w:p>
    <w:p>
      <w:r>
        <w:rPr>
          <w:b/>
        </w:rPr>
        <w:t>E. 4</w:t>
      </w:r>
    </w:p>
    <w:p>
      <w:r>
        <w:t>Der Beschwerdeführer anerkennt, dass ihm A.________ insgesamt Fr. 215'000.-- übergeben hatte (Beschwerde S. 10). Er macht geltend, Betrug setze Arglist voraus. A.________ habe gewusst, dass er das Geld für ein Bauprojekt in Mazedonien brauchte. Der Beschwerdeführer verweist dazu auf die Begründung der Erstinstanz.</w:t>
      </w:r>
    </w:p>
    <w:p>
      <w:r>
        <w:t>Beschwerdegegenstand ist der Entscheid der letzten kantonalen Instanz ( Art. 80 Abs. 1 BGG ). In der Beschwerde muss dargelegt werden, inwiefern dieser Entscheid Recht verletzt ( Art. 42 Abs. 2 BGG ). Der Beschwerdeführer setzt sich mit dem vorinstanzlichen Urteil (S. 32 - 58) nicht auseinander. Darauf ist nicht einzutreten.</w:t>
      </w:r>
    </w:p>
    <w:p>
      <w:r>
        <w:rPr>
          <w:b/>
        </w:rPr>
        <w:t>E. 5</w:t>
      </w:r>
    </w:p>
    <w:p>
      <w:r>
        <w:t>Der Beschwerdeführer bringt vor, bei den Widerhandlungen gegen das Waffengesetz habe er sich im Verbotsirrtum befunden. Die Strafe sei gemäss Art. 48a StGB zu mildern und nicht an der Höchst- bzw. vollen Vorsatzstrafe zu bemessen.</w:t>
      </w:r>
    </w:p>
    <w:p>
      <w:r>
        <w:t>Nach dem Beweisergebnis wusste der Beschwerdeführer, dass er als Mazedonier keine Waffen tragen durfte, und nahm zumindest in Kauf, sich strafbar zu machen (Urteil S. 70).</w:t>
      </w:r>
    </w:p>
    <w:p>
      <w:r>
        <w:t>Mit der Inkaufnahme der Strafbarkeit entschied sich der Beschwerdeführer bewusst gegen das Recht. Eine Strafmilderung ist, wie die Vorinstanz festhält, nicht am Platz. Art. 33 Abs. 1 lit. a Waffengesetz (WG; SR 514.54) droht Freiheitsstrafe bis drei Jahre oder Geldstrafe an. Die Vorinstanz erkennt auf eine Einsatzstrafe von "gegen 60 Tagessätzen". Trotz "Schärfung in geringerem Umfang" wegen Berücksichtigung der Widerhandlungen gegen das BetmG (Dispositiv-Ziff. II/2; oben E. 3) setzt sie in Anwendung von Art. 49 Abs. 1 StGB im Ergebnis eine Geldstrafe von 60 Tagessätzen fest. Die Vorinstanz verletzt kein Bundesrecht.</w:t>
      </w:r>
    </w:p>
    <w:p>
      <w:r>
        <w:rPr>
          <w:b/>
        </w:rPr>
        <w:t>E. 6</w:t>
      </w:r>
    </w:p>
    <w:p>
      <w:r>
        <w:t>Der Beschwerdeführer setzt sich mit den vorinstanzlichen Ausführungen zur Strafzumessung (Urteil S. 59 - 72) nicht auseinander und beschränkt sich darauf, ausgehend von den zugestandenen Straftaten eine eigene Berechnung vorzunehmen. Darauf ist nicht einzutreten.</w:t>
      </w:r>
    </w:p>
    <w:p>
      <w:r>
        <w:rPr>
          <w:b/>
        </w:rPr>
        <w:t>E. 7</w:t>
      </w:r>
    </w:p>
    <w:p>
      <w:r>
        <w:t>Es besteht kein Anlass, die kantonalen Verfahrenskosten im Sinne von Art. 66 und 67 BGG anders zu verteilen oder dem Kanton Bern aufzuerlegen. Da es beim Strafmass bleibt, ist auch eine Entschädigung wegen Überhaft nicht geschuldet (Beschwerde S. 16).</w:t>
      </w:r>
    </w:p>
    <w:p>
      <w:r>
        <w:rPr>
          <w:b/>
        </w:rPr>
        <w:t>E. 8</w:t>
      </w:r>
    </w:p>
    <w:p>
      <w:r>
        <w:t>Die Beschwerde ist abzuweisen, soweit darauf eingetreten werden kann. Das Gesuch um unentgeltliche Rechtspflege ist wegen Aussichtslosigkeit der Rechtsbegehren abzuweisen ( Art. 64 BGG ). Der finanziellen Lage des Beschwerdeführers ist mit herabgesetzten 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