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1233/2019 vom 17. April 2020</w:t>
      </w:r>
    </w:p>
    <w:p>
      <w:r>
        <w:t>Bundesgericht, 2020-04-17, DE</w:t>
      </w:r>
    </w:p>
    <w:p>
      <w:r>
        <w:rPr>
          <w:b/>
        </w:rPr>
        <w:t xml:space="preserve">Quelle: </w:t>
      </w:r>
      <w:r>
        <w:t>https://mcp.opencaselaw.ch/entscheid/bger_6B_1233_2019</w:t>
      </w:r>
    </w:p>
    <w:p>
      <w:r>
        <w:t>FR: TF 6B 1233/2019 du 17 avril 2020</w:t>
      </w:r>
    </w:p>
    <w:p>
      <w:r>
        <w:t>IT: TF 6B 1233/2019 del 17 aprile 2020</w:t>
      </w:r>
    </w:p>
    <w:p>
      <w:pPr>
        <w:pStyle w:val="Heading2"/>
      </w:pPr>
      <w:r>
        <w:t>Regeste</w:t>
      </w:r>
    </w:p>
    <w:p>
      <w:r>
        <w:t>Nichtanhandnahme (strafbare Handlungen gegen das Vermögen) | Strafprozess</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Im Verfahren vor Bundesgericht muss die Privatklägerschaft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6B_1322/2017 vom 14. August 2018 E. 2.1).</w:t>
      </w:r>
    </w:p>
    <w:p>
      <w:r>
        <w:rPr>
          <w:b/>
        </w:rPr>
        <w:t>E. 1.2</w:t>
      </w:r>
    </w:p>
    <w:p>
      <w:r>
        <w:t>Die Beschwerdeführerin begründet ihre Legitimation zur Beschwerde mit der Teilnahme am vorinstanzlichen Verfahren und ihrer Stellung als (mutmasslich vom inkriminierten Sachverhalt geschädigte) Konkursgläubigerin. Beides genügt jedoch zur Legitimation im bundesgerichtlichen Verfahren nicht. Dem von ihr geschilderten Sachverhalt ist lediglich zu entnehmen, dass die Beschwerdegegnerin 2 Inhaberschuldbriefe im Nominalwert von Fr. 2'250'000.-- vereinnahmt haben soll. Die Beschwerdeführerin erhebt aber keinerlei zivilrechtliche Ansprüche, namentlich auf Schadenersatz. Aus dem angefochtenen Beschluss erhellt zudem, dass sie sich ausdrücklich nur als Privatklägerin im Strafpunkt konstituierte. Unter diesen Umständen ist von vornherein nicht ersichtlich, dass und inwieweit sich der angefochtene Entscheid auf Zivilforderungen der Beschwerdeführerin auswirken könnte, was sie auch nicht darlegt. Die Beschwerde genügt insoweit den gesetzlichen Begründungsanforderungen ( Art. 42 Abs. 2 BGG ) nicht, sodass es an der Legitimation zur Beschwerde fehlt (vgl. Urteil 6B_88/2018 vom 14. November 2018 E. 4 mit Hinweis). Mit Bezug auf den Vorwurf der Veruntreuung wäre überdies - selbst unter der Voraussetzung, die Beschwerdeführerin hätte Zivilforderungen geltend gemacht - unklar, weshalb die Beschwerdeführerin von der beanzeigten Straftat in eigenen Rechten unmittelbar verletzt worden sein sollte, zumal sie nicht geltend macht, Treugeberin der Schuldbriefe zu sein. Sie wäre daher insoweit auch nicht geschädigte Person im Sinne von Art. 115 Abs. 1 StPO ( BGE 143 IV 77 E. 2.2 mit Hinweisen) und auch deshalb nicht nach Art. 118 StPO zur Beschwerde befugt. Formelle Rügen, zu deren Vorbringen sie unbesehen der fehlenden Legitimation in der Sache befugt wäre (sog. "Star-Praxis"; vgl. BGE 141 V 1 E. 1.1 mit Hinweisen), erhebt die Beschwerdeführerin nicht.</w:t>
      </w:r>
    </w:p>
    <w:p>
      <w:r>
        <w:rPr>
          <w:b/>
        </w:rPr>
        <w:t>E. 2</w:t>
      </w:r>
    </w:p>
    <w:p>
      <w:r>
        <w:t>Auf die Beschwerde ist nicht einzutreten. Ausgangsgemäss hat die Beschwerdeführerin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