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1231/2021 vom 4. Januar 2022</w:t>
      </w:r>
    </w:p>
    <w:p>
      <w:r>
        <w:t>Bundesgericht, 2022-01-04, FR</w:t>
      </w:r>
    </w:p>
    <w:p>
      <w:r>
        <w:rPr>
          <w:b/>
        </w:rPr>
        <w:t xml:space="preserve">Quelle: </w:t>
      </w:r>
      <w:r>
        <w:t>https://mcp.opencaselaw.ch/entscheid/bger_6B_1231_2021</w:t>
      </w:r>
    </w:p>
    <w:p>
      <w:r>
        <w:t>FR: TF 6B 1231/2021 du 4 janvier 2022</w:t>
      </w:r>
    </w:p>
    <w:p>
      <w:r>
        <w:t>IT: TF 6B 1231/2021 del 4 gennaio 2022</w:t>
      </w:r>
    </w:p>
    <w:p>
      <w:pPr>
        <w:pStyle w:val="Heading2"/>
      </w:pPr>
      <w:r>
        <w:t>Regeste</w:t>
      </w:r>
    </w:p>
    <w:p>
      <w:r>
        <w:t>Ordonnance de classement (escroquerie, etc.) | Procédure pénale</w:t>
      </w:r>
    </w:p>
    <w:p>
      <w:pPr>
        <w:pStyle w:val="Heading2"/>
      </w:pPr>
      <w:r>
        <w:t>Erwägungen</w:t>
      </w:r>
    </w:p>
    <w:p>
      <w:r>
        <w:rPr>
          <w:b/>
        </w:rPr>
        <w:t>E. 1</w:t>
      </w:r>
    </w:p>
    <w:p>
      <w:r>
        <w:t>Le recours est dirigé contre une décision de classer la procédure, prise par une autorité de dernière instance cantonale, mettant toutefois les frais de première instance à la charge du recourant. Dans cette mesure, celui-ci dispose d'un intérêt juridique à l'annulation de la décision et, partant, de la qualité pour recourir.</w:t>
      </w:r>
    </w:p>
    <w:p>
      <w:r>
        <w:rPr>
          <w:b/>
        </w:rPr>
        <w:t>E. 2</w:t>
      </w:r>
    </w:p>
    <w:p>
      <w:r>
        <w:t>Le recourant conteste la mise à sa charge des frais de l'ordonnance de classement.</w:t>
      </w:r>
    </w:p>
    <w:p>
      <w:r>
        <w:rPr>
          <w:b/>
        </w:rPr>
        <w:t>E. 2.1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 art. 32 al. 1 Cst. et 6 § 2 CEDH ),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 ATF 144 IV 202 consid. 2.2 p. 205;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205; 119 la 332 consid. 1b p. 334). Le comportement fautif peut être une " faute procédurale ", c'est-à-dire un comportement qui a compliqué ou prolongé la procédure; il peut s'agir, par exemple, du défaut sans excuse de l' art. 205 al. 4 CPP ou du silence du prévenu, lorsqu'il est établi qu'il a obligé l'autorité à procéder à des investigations nombreuses et complexes, alors qu'il lui aurait été facile pour lui de se disculper ( ATF 112 Ib 456 consid. 4 p. 511; cf. IRENE ARNOLD, Die Verfahrenskosten gemäss Schweizerischer Strafprozessordnung, 2018, p. 96). Selon le principe de la causalité des frais, le comportement du prévenu doit être à l'origine des frais pour que ceux-ci puissent lui être imputés, s'il est mis, en particulier, au bénéfice d'une ordonnance de classement (JOËLLE FONTANA, Commentaire romand, Code de procédure pénale suisse, 2e éd., 2019, n° 2 ad art. 426). Cette condamnation se limitera aux frais que le comportement fautif a entraînés ( ATF 116 Ia 162 consid. 2d/bb p. 171; arrêt 6B_215/2009 du 23 juin 2009 consid. 2.6).</w:t>
      </w:r>
    </w:p>
    <w:p>
      <w:r>
        <w:rPr>
          <w:b/>
        </w:rPr>
        <w:t>E. 2.2</w:t>
      </w:r>
    </w:p>
    <w:p>
      <w:r>
        <w:t>La cour cantonale a constaté que le recourant avait refusé de donner suite au mandat de comparution que l'Office des relations et des conditions de travail neuchâtelois (ci-après: ORCT) lui avait adressé en vue d'une audition du 17 juin 2020, ainsi qu'au mandat de comparution que le ministère public neuchâtelois lui avait adressé en vue d'une audience du 27 avril 2021. En refusant de donner suite aux différents mandats de comparution, sans excuse valable, le recourant avait violé les art. 113 al. 1, dernière phrase, et 205 CPP. En effet, si le prévenu n'avait pas l'obligation de déposer contre lui-même, il était tenu de se soumettre aux mesures de contrainte prévues par la loi ( art. 113 al. 1 CPP ). La cour cantonale en a donc conclu que le recourant avait, de manière illicite et fautive, rendu plus difficile la conduite de la procédure qui était dirigée contre lui, au sens de l' art. 426 al. 2 CPP (jugement attaqué p. 10).</w:t>
      </w:r>
    </w:p>
    <w:p>
      <w:r>
        <w:rPr>
          <w:b/>
        </w:rPr>
        <w:t>E. 2.3.1</w:t>
      </w:r>
    </w:p>
    <w:p>
      <w:r>
        <w:t>Le recourant soutient que le ministère public ne l'aurait pas informé des infractions qui lui étaient reprochées (cf. art. 309 al. 3 CPP relatif à l'ouverture de l'instruction et 201 al. 2 let. c CPP relatif au mandat de comparution). Le ministère public lui aurait également refusé à tort tout accès au dossier.</w:t>
      </w:r>
    </w:p>
    <w:p>
      <w:r>
        <w:rPr>
          <w:b/>
        </w:rPr>
        <w:t>E. 2.3.2</w:t>
      </w:r>
    </w:p>
    <w:p>
      <w:r>
        <w:t>Ces griefs ne sont pas fondés. Le 11 août 2020, le ministère public neuchâtelois a ouvert une instruction pénale à l'encontre du recourant pour infractions aux art. 146 CP (escroquerie), 148a CP (obtention illicite de prestations d'une assurance sociale ou de l'aide sociale) et 73 de la loi cantonale sur l'action sociale (LASoc; RSN 831.0). Conformément à l' art. 309 al. 3 CPP , il a désigné les infractions qui étaient imputées au recourant dans l'ordonnance d'ouverture d'instruction. Le mandat de comparution en vue de l'audience du 27 avril 2021 ne viole pas l' art. 201 CPP . Conformément à l' art. 201 al. 2 let . c CPP, l'autorité pénale peut déroger à l'obligation de mentionner le motif du mandat (notamment les infractions reprochées) si le but de l'instruction s'oppose à cette indication. L'accès au dossier est garanti aux parties de manière générale par l' art. 107 al. 1 let. a CPP . L' art. 101 al. 1 CPP précise cependant que les parties peuvent consulter le dossier d'une procédure pénale pendante, au plus tard après la première audition du prévenu et l'administration des preuves principales par le ministère public, l' art. 108 CPP ainsi que l' art. 225 al. 2 CPP (consultation du dossier en matière de détention provisoire) étant réservés. Ainsi, le droit de consulter le dossier peut être limité avant la première audition du prévenu. Une consultation totale et absolue du dossier en début d'enquête pourrait en effet mettre en péril la recherche de la vérité matérielle ( ATF 137 IV 172 consid. 2.3 p. 174 s.). Le recourant ne peut donc se retrancher derrière le refus du ministère public de lui donner accès au dossier pour justifier sa non-comparution à l'audience du 27 avril 2021. Avec la cour cantonale, il faut admettre qu'en refusant de donner suite aux mandats de comparution de l'ORCT et du ministère public, sans excuses valables, le recourant a violé les art. 113 al. 1, dernière phrase, et 205 CPP et que, par son comportement, il a compliqué inutilement la procédure, puisqu'il a obligé le ministère public à rendre un mandat d'amener en vue de sa comparution. Le prononcé du mandat d'amener et la mise à contribution de la police ont généré des frais. La cour cantonale a retenu que ceux-ci étaient supérieurs à 830 francs. Dans ces conditions, la cour cantonale n'a pas violé l' art. 426 al. 2 CPP en mettant les frais à la charge du recourant par 830 francs. Si, comme en l'espèce, le prévenu supporte les frais en application de l' art. 426 al. 2 CPP , une indemnité au sens de l' art. 429 CPP est exclue (cf. art. 430 al. 1 let. a CPP ; ATF 144 IV 207 consid. 1.8.2 p. 211; 137 IV 352 consid. 2.4.2 p. 357; arrêt 6B_1090/2020 du 1er avril 2021 consid. 2.1.2). La conclusion du recourant tendant à l'allocation d'une indemnité selon l' art. 429 CPP d'un montant de 3'000 fr. doit donc être rejetée.</w:t>
      </w:r>
    </w:p>
    <w:p>
      <w:r>
        <w:rPr>
          <w:b/>
        </w:rPr>
        <w:t>E. 3</w:t>
      </w:r>
    </w:p>
    <w:p>
      <w:r>
        <w:t>Le recourant dénonce la violation de l' art. 321 al. 1 let. a et b CPP . La cour cantonale a expliqué les raisons qui justifiaient la notification de l'ordonnance de classement au Service juridique de la Ville de Neuchâtel, à l'Office cantonal de l'assurance-chômage et à l'ORCT. Le recourant n'expose pas en quoi les considérants de l'arrêt attaqué seraient erronés. Son grief est insuffisamment motivé ( art. 42 al. 2 LTF ) et, partant, irrecevable.</w:t>
      </w:r>
    </w:p>
    <w:p>
      <w:r>
        <w:rPr>
          <w:b/>
        </w:rPr>
        <w:t>E. 4</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