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1231/2015 vom 31. Mai 2016</w:t>
      </w:r>
    </w:p>
    <w:p>
      <w:r>
        <w:t>Bundesgericht, 2016-05-31, DE</w:t>
      </w:r>
    </w:p>
    <w:p>
      <w:r>
        <w:rPr>
          <w:b/>
        </w:rPr>
        <w:t xml:space="preserve">Quelle: </w:t>
      </w:r>
      <w:r>
        <w:t>https://mcp.opencaselaw.ch/entscheid/bger_6B_1231_2015</w:t>
      </w:r>
    </w:p>
    <w:p>
      <w:r>
        <w:t>FR: TF 6B 1231/2015 du 31 mai 2016</w:t>
      </w:r>
    </w:p>
    <w:p>
      <w:r>
        <w:t>IT: TF 6B 1231/2015 del 31 maggio 2016</w:t>
      </w:r>
    </w:p>
    <w:p>
      <w:pPr>
        <w:pStyle w:val="Heading2"/>
      </w:pPr>
      <w:r>
        <w:t>Regeste</w:t>
      </w:r>
    </w:p>
    <w:p>
      <w:r>
        <w:t>Sachbeschädigung, Gültigkeit eines Strafantrags, Willkür | Straftaten</w:t>
      </w:r>
    </w:p>
    <w:p>
      <w:pPr>
        <w:pStyle w:val="Heading2"/>
      </w:pPr>
      <w:r>
        <w:t>Erwägungen</w:t>
      </w:r>
    </w:p>
    <w:p>
      <w:r>
        <w:rPr>
          <w:b/>
        </w:rPr>
        <w:t>E. 1.1</w:t>
      </w:r>
    </w:p>
    <w:p>
      <w:r>
        <w:t>Der Beschwerdeführer macht geltend, das Urteil des Obergerichts sei nicht ordnungsgemäss unterschrieben worden. Auch nachträglich sei ihm kein den Anforderungen von Art. 80 Abs. 2 StPO genügendes Urteil zugestellt worden. Der Entscheid leide an einem unheilbaren Mangel.</w:t>
      </w:r>
    </w:p>
    <w:p>
      <w:r>
        <w:rPr>
          <w:b/>
        </w:rPr>
        <w:t>E. 1.2</w:t>
      </w:r>
    </w:p>
    <w:p>
      <w:r>
        <w:t>Nach Art. 80 Abs. 2 und 3 StPO ergehen Entscheide (ausser einfache verfahrensleitende Beschlüsse und Verfügungen) schriftlich und werden begründet; sie werden von der Verfahrensleitung sowie der protokollführenden Person unterzeichnet und den Parteien zugestellt. Bei der Unterschrift handelt es sich um ein Gültigkeitserfordernis ( BGE 131 V 483 E. 2.3.3; Urteile 4A_20/2011 vom 11. April 2011 E. 6; 1B_608/2011 vom 10. November 2011 E. 2.3; 9C_511/2014 vom 26. September 2014 E. 3.3; DANIELA BRÜSCHWEILER, in: Donatsch/ Hansjakob/Lieber, Kommentar zur Schweizerischen Strafprozessordnung, 2. Aufl. 2014, N. 3 zu Art. 80 StPO ). Das dem Beschwerdeführer zugestellte Urteil trägt nur die Unterschrift des Gerichtsschreibers, nicht aber des Präsidenten. Es genügt den Anforderungen von Art. 80 Abs. 2 StPO nicht. Auch nachträglich wurde dem Beschwerdeführer kein Entscheid zugestellt, der den gesetzlichen Formvorschriften entsprechen würde. Der angefochtene Entscheid ist aufzuheben und zu neuer Eröffnung an die Vorinstanz zurückzuweisen.</w:t>
      </w:r>
    </w:p>
    <w:p>
      <w:r>
        <w:rPr>
          <w:b/>
        </w:rPr>
        <w:t>E. 2</w:t>
      </w:r>
    </w:p>
    <w:p>
      <w:r>
        <w:t>Für das bundesgerichtliche Verfahren sind keine Kosten zu erheben ( Art. 66 Abs. 1 und 4 BGG ). Der Beschwerdeführer liess sich nicht anwaltlich vertreten, weshalb er keinen Anspruch auf eine Parteientschädigung hat. Er legt auch nicht dar, inwiefern besondere Umstände vorliegen, die eine Entschädigung rechtfertigen würden (vgl. BGE 125 II 518 E. 5b mit Hinweisen). Das Gesuch um aufschiebende Wirkung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