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1228/2019 vom 10. Dezember 2019</w:t>
      </w:r>
    </w:p>
    <w:p>
      <w:r>
        <w:t>Bundesgericht, 2019-12-10, FR</w:t>
      </w:r>
    </w:p>
    <w:p>
      <w:r>
        <w:rPr>
          <w:b/>
        </w:rPr>
        <w:t xml:space="preserve">Quelle: </w:t>
      </w:r>
      <w:r>
        <w:t>https://mcp.opencaselaw.ch/entscheid/bger_6B_1228_2019</w:t>
      </w:r>
    </w:p>
    <w:p>
      <w:r>
        <w:t>FR: TF 6B 1228/2019 du 10 décembre 2019</w:t>
      </w:r>
    </w:p>
    <w:p>
      <w:r>
        <w:t>IT: TF 6B 1228/2019 del 10 dicembre 2019</w:t>
      </w:r>
    </w:p>
    <w:p>
      <w:pPr>
        <w:pStyle w:val="Heading2"/>
      </w:pPr>
      <w:r>
        <w:t>Regeste</w:t>
      </w:r>
    </w:p>
    <w:p>
      <w:r>
        <w:t>Arbitraire; conduite sans permis de circulation, sans autorisation ou sans assurance-responsabilité civile; erreur sur l'illicéité; fixation de la peine | Infractions</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le recourant avait prétendu, s'agissant du véhicule conduit le 18 mars 2018, que, dans la mesure où celui-ci était selon lui autorisé à rouler en France, il devait en aller de même en Suisse. Le recourant avait donc eu connaissance de la mention "cédé pour exportation" inscrite sur la carte grise du véhicule, mais n'avait procédé à aucune vérification concernant la possibilité de rouler en Suisse, auprès du détenteur E.________ ou du garagiste auquel ce dernier aurait vendu cette machine. Le recourant avait, pour la première fois durant la procédure d'appel, prétendu s'être assuré auprès dudit garagiste que la mention sur la carte grise ne l'empêchait pas de conduire le véhicule concerné en Suisse. Cette allégation était toutefois peu convaincante.</w:t>
      </w:r>
    </w:p>
    <w:p>
      <w:r>
        <w:rPr>
          <w:b/>
        </w:rPr>
        <w:t>E. 1.3</w:t>
      </w:r>
    </w:p>
    <w:p>
      <w:r>
        <w:t>Dans une section de son mémoire de recours intitulée "En fait", le recourant introduit divers éléments qui ne ressortent pas de l'arrêt attaqué, sans démontrer en quoi l'autorité précédente aurait arbitrairement omis de retenir ceux-ci (cf. art. 97 al. 1 LTF ). Ce faisant, il ne formule aucun grief recevable.</w:t>
      </w:r>
    </w:p>
    <w:p>
      <w:r>
        <w:rPr>
          <w:b/>
        </w:rPr>
        <w:t>E. 1.4</w:t>
      </w:r>
    </w:p>
    <w:p>
      <w:r>
        <w:t>Le recourant avance par ailleurs diverses allégations postérieures à l'arrêt attaqué - concernant des démarches qu'il aurait entreprises auprès de l'Office cantonal des véhicules et de la centrale de renseignements des douanes -, lesquelles sont irrecevables (cf. art. 99 al. 1 LTF ).</w:t>
      </w:r>
    </w:p>
    <w:p>
      <w:r>
        <w:rPr>
          <w:b/>
        </w:rPr>
        <w:t>E. 1.5</w:t>
      </w:r>
    </w:p>
    <w:p>
      <w:r>
        <w:t>Pour le reste, le recourant se borne à souligner que le garagiste qui lui aurait prêté le véhicule n'a jamais été entendu et que des "recherches en droit français" concernant la validité d'une mention manuscrite sur une carte grise n'ont jamais été entreprises, sans prétendre que de telles investigations auraient été requises devant la cour cantonale et refusées d'une manière contraire à son droit d'être entendu (cf. à cet égard ATF 144 II 427 consid. 3.1.3 p. 435). Enfin, le recourant ne démontre aucunement qu'il aurait été insoutenable, de la part de la cour cantonale, de retenir que la mention "cédé pour exportation", qui barrait le certificat d'immatriculation litigieux, avait été valablement inscrite en France.</w:t>
      </w:r>
    </w:p>
    <w:p>
      <w:r>
        <w:rPr>
          <w:b/>
        </w:rPr>
        <w:t>E. 2</w:t>
      </w:r>
    </w:p>
    <w:p>
      <w:r>
        <w:t>Le recourant conteste sa condamnation à titre de l' art. 96 al. 1 let. a LCR . Son argumentation sur ce point est irrecevable dans la mesure où elle s'écarte de l'état de fait de la cour cantonale, dont il n'a pas démontré l'arbitraire (cf. consid. 1 supra), ainsi lorsque l'intéressé suggère que la mention ayant barré le certificat d'immatriculation litigieux n'aurait pas invalidé celui-ci. Le recourant ne présente au demeurant aucun élément qui permettrait de remettre en cause l'absence de certificat d'immatriculation pour le véhicule concerné en Suisse. Pour le surplus, le recourant se borne à affirmer qu'il n'aurait jamais eu la volonté de commettre une infraction, qu'il pensait, au moment des faits, que le permis de circulation était valable conformément à ce que lui aurait laissé entendre le garagiste concerné. Ce faisant, il s'écarte derechef de l'état de fait de l'autorité précédente, laquelle a retenu que l'intéressé avait bien vu la mention figurant sur la carte grise et n'a pas jugé crédibles ses allégations relatives à de prétendues assurances obtenues auprès du garagiste qui lui avait remis le véhicule. Au demeurant, l'infraction à l' art. 96 al. 1 let. a LCR est punissable par négligence (cf. art. 100 ch. 1 al. 1 LCR ), de sorte que l'intéressé aurait également pu être sanctionné par cette disposition s'il avait simplement omis fautivement de prendre les renseignements utiles après avoir constaté l'existence d'une mention barrant le certificat d'immatriculation.</w:t>
      </w:r>
    </w:p>
    <w:p>
      <w:r>
        <w:rPr>
          <w:b/>
        </w:rPr>
        <w:t>E. 3</w:t>
      </w:r>
    </w:p>
    <w:p>
      <w:r>
        <w:t>Le recourant se prévaut d'une erreur sur l'illicéité.</w:t>
      </w:r>
    </w:p>
    <w:p>
      <w:r>
        <w:rPr>
          <w:b/>
        </w:rPr>
        <w:t>E. 3.1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6B_984/2019 du 8 octobre 2019 consid. 3.1; 6B_706/2019 du 13 août 2019 consid. 2.1; 6B_77/2019 du 11 février 2019 consid. 2.1 non publié aux ATF 145 IV 17 ). Pour exclure l'erreur de droit, il suffit que l'auteur ait eu le sentiment de faire quelque chose de contraire à ce qui se doit ou qu'il eût dû avoir ce sentiment ( ATF 129 IV 6 consid. 4.1 p. 18; 104 IV 217 consid. 2 p. 218; arrêts 6B_984/2019 précité consid. 3.1; 6B_77/2019 précité consid. 2.1 non publié aux ATF 145 IV 17 ). La possibilité théorique d'apprécier correctement la situation ne suffit pas à exclure l'application de l' art. 21 1 ère phrase CP. Ce qui est déterminant c'est de savoir si l'erreur de l'auteur peut lui être reprochée ( ATF 116 IV 56 consid. II.3a p. 68; arrêts 6B_984/2019 précité consid. 3.1; 6B_77/2019 précité consid. 2.1 non publié aux ATF 145 IV 17 ).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 ATF 128 IV 201 consid. 2 p. 210; 98 IV 293 consid. 4a p. 303; arrêts 6B_984/2019 précité consid. 3.1; 6B_77/2019 précité consid. 2.1 non publié aux ATF 145 IV 17 ). Le caractère évitable de l'erreur doit être examiné en tenant compte des circonstances personnelles de l'auteur, telles que son degré de socialisation ou d'intégration (arrêts 6B_984/2019 précité consid. 3.1; 6B_77/2019 précité consid. 2.1 non publié aux ATF 145 IV 17 ).</w:t>
      </w:r>
    </w:p>
    <w:p>
      <w:r>
        <w:rPr>
          <w:b/>
        </w:rPr>
        <w:t>E. 3.2</w:t>
      </w:r>
    </w:p>
    <w:p>
      <w:r>
        <w:t>L'argumentation du recourant est irrecevable dans la mesure où elle s'écarte de l'état de fait de la cour cantonale, par lequel le Tribunal fédéral est lié (cf. art. 105 al. 1 LTF ) et dont il n'a pas démontré l'arbitraire (cf. consid. 1 supra). Il en va ainsi lorsque l'intéressé prétend que toute démarche de sa part en vue de se renseigner sur son droit de circuler en Suisse avec le véhicule en question aurait été vaine. Pour le reste, le recourant se borne à affirmer qu'il n'avait "aucune raison de douter de sa capacité de circuler en Suisse avec ce véhicule", dès lors qu'un garagiste aurait mis celui-ci à sa disposition. Or, le fait qu'un garagiste français eût mis le véhicule à sa disposition ne signifiait aucunement que celui-ci pouvait circuler en Suisse. Dans ces circonstances, il appartenait au recourant - s'il souhaitait circuler en Suisse - de prendre des renseignements après avoir constaté la mention inscrite sur le certificat d'immatriculation. Le recourant n'avait aucune raison suffisante de se croire en droit d'agir, mais s'est abstenu de toute démarche - qu'aurait entreprise une personne consciencieuse - visant à clarifier la situation. La cour cantonale n'a donc pas violé l' art. 21 CP en refusant de retenir l'existence d'une erreur sur l'illicéité.</w:t>
      </w:r>
    </w:p>
    <w:p>
      <w:r>
        <w:rPr>
          <w:b/>
        </w:rPr>
        <w:t>E. 4</w:t>
      </w:r>
    </w:p>
    <w:p>
      <w:r>
        <w:t>Le recourant se plaint de la peine privative de liberté qui lui a été infligée.</w:t>
      </w:r>
    </w:p>
    <w:p>
      <w:r>
        <w:rPr>
          <w:b/>
        </w:rPr>
        <w:t>E. 4.1</w:t>
      </w:r>
    </w:p>
    <w:p>
      <w:r>
        <w:t>Selon l' art. 41 CP ,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motiver le choix de la peine privative de liberté de manière circonstanciée (al. 2). 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143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4.2</w:t>
      </w:r>
    </w:p>
    <w:p>
      <w:r>
        <w:t>L'autorité précédente a exposé que la faute du recourant n'était pas négligeable. Malgré 13 condamnations pour infractions à la législation sur les étrangers, celui-ci était revenu en Suisse à quatre reprises en 2018, en dépit de l'interdiction d'entrée qui lui avait été valablement notifiée en 2017. Le recourant avait expliqué ses incursions en Suisse par des motifs divers - comme la volonté d'y trouver un emploi, de rendre service à des détenus ou d'y prendre une consommation -, lorsqu'il n'avait pas refusé d'expliquer sa présence dans ce pays en reprochant aux policiers de poser systématiquement les mêmes questions qualifiées de "débiles". Le recourant avait par ailleurs déclaré qu'il venait quotidiennement rendre visite à son fils, âgé tantôt de quelques mois, tantôt de plusieurs années. Il ne faisait donc aucun cas des décisions judiciaires ou administratives rendues à son encontre. La plus récente peine pécuniaire prononcée, en 2012, n'avait eu aucun effet dissuasif, non plus que les neuf peines privatives de liberté subséquentes. Le recourant n'avait pas su saisir les différentes chances qui lui avaient été données, par le prononcé de peines pécuniaires puis par l'octroi de deux libérations conditionnelles en 2013, puisqu'il avait systématiquement récidivé durant le délai d'épreuve. La prise de conscience était nulle car le recourant ne s'était à aucun moment remis en question. Le pronostic était clairement défavorable et, pour des motifs de prévention spéciale, seule une peine privative de liberté pouvait être prononcée.</w:t>
      </w:r>
    </w:p>
    <w:p>
      <w:r>
        <w:rPr>
          <w:b/>
        </w:rPr>
        <w:t>E. 4.3</w:t>
      </w:r>
    </w:p>
    <w:p>
      <w:r>
        <w:t>Le recourant commence par se prévaloir des peines qui ont été fixées dans d'autres décisions rendues à son encontre, pour affirmer que la sanction prononcée par l'autorité précédente serait d'une "disproportion crasse". Ce faisant, il ne démontre aucunement que la cour cantonale aurait excédé son pouvoir d'appréciation en la matière. Par ailleurs, le recourant reproche à l'autorité précédente de ne pas avoir tenu compte de sa situation personnelle au moment de la décision. On ne voit toutefois pas quel élément de cette nature aurait été ignoré par la cour cantonale, laquelle a bien retenu que le recourant était père de deux enfants mineurs et qu'il avait un emploi. La situation familiale et professionnelle de l'intéressé ne saurait démontrer à elle seule une "prise de conscience importante" ou une volonté de s'amender, puisque les infractions ont été commises alors que celui-ci était déjà père de famille et que le recourant n'a, pour le reste, exprimé aucune repentance. Enfin, on perçoit mal dans quelle mesure les acquittements dont a bénéficié le recourant dans le cadre de cette procédure feraient apparaître la peine privative de liberté prononcée comme disproportionnée. Le recourant ne démontre ainsi nullement que l'autorité précédente aurait violé le droit fédéral en lui infligeant une peine privative de liberté ferme de trois mois.</w:t>
      </w:r>
    </w:p>
    <w:p>
      <w:r>
        <w:rPr>
          <w:b/>
        </w:rPr>
        <w:t>E. 5</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