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1228/2018 vom 4. März 2019</w:t>
      </w:r>
    </w:p>
    <w:p>
      <w:r>
        <w:t>Bundesgericht, 2019-03-04, DE</w:t>
      </w:r>
    </w:p>
    <w:p>
      <w:r>
        <w:rPr>
          <w:b/>
        </w:rPr>
        <w:t xml:space="preserve">Quelle: </w:t>
      </w:r>
      <w:r>
        <w:t>https://mcp.opencaselaw.ch/entscheid/bger_6B_1228_2018</w:t>
      </w:r>
    </w:p>
    <w:p>
      <w:r>
        <w:t>FR: TF 6B 1228/2018 du 4 mars 2019</w:t>
      </w:r>
    </w:p>
    <w:p>
      <w:r>
        <w:t>IT: TF 6B 1228/2018 del 4 marzo 2019</w:t>
      </w:r>
    </w:p>
    <w:p>
      <w:pPr>
        <w:pStyle w:val="Heading2"/>
      </w:pPr>
      <w:r>
        <w:t>Regeste</w:t>
      </w:r>
    </w:p>
    <w:p>
      <w:r>
        <w:t>Einstellung (Betrug, Erpressung usw.)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1.2.1</w:t>
      </w:r>
    </w:p>
    <w:p>
      <w:r>
        <w:t>Der Beschwerdeführer bringt vor, er habe sich als Privatkläger konstituiert und am vorinstanzlichen Verfahren teilgenommen. Dies genügt zur Begründung seiner Legitimation jedoch nicht. Die Tatbestände des Urkundenstrafrechts, wie die Unterdrückung einer Urkunde, bezwecken in erster Linie den Schutz der Allgemeinheit. Art. 254 StGB dient der Sicherung von Urkunden als Beweismittel zugunsten daran Berechtigter und schützt vor unbefugter Entziehung bzw. Beeinträchtigung der Beweisführungsmöglichkeit des Berechtigten mit dem spezifischen Beweiswert der Urkunde. Der Tatbestand dient dem Bestandesschutz von Urkunden. Neben der Allgemeinheit schützt er auch die Interessen des daran Berechtigten (MARKUS BOOG, in: Basler Kommentar, Strafrecht II, 4. Aufl. 2019, N. 1 zu Art. 254 StGB , mit Hinweisen).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140 IV 155 E. 3.2; je mit Hinweisen). Der Beschwerdeführer macht unter dem Gesichtspunkt der Urkundenunterdrückung Prozesskosten und Aufwendungen im Zivilverfahren um die Herausgabe seiner Krankengeschichte geltend. Dass diese Kosten alleine oder wenigstens überwiegend aufgrund des angeblich von der Beschuldigten gegenüber der Staatsanwaltschaft unterdrückten und vom Beschwerdeführer selbst nachgereichten Merkblatts entstanden sein sollen, ist weder dargetan, noch leuchtet es ein. Die Beschwerde genügt insoweit den gesetzlichen Begründungsanforderungen nicht ( Art. 42 Abs. 2 BGG ), sodass darauf insoweit nicht einzutreten ist. Dies gilt ebenso für den Tatbestand der Verleumdung im Zusammenhang mit der angeblichen Verletzung des Arzt- oder Berufsgeheimnisses durch die Beschuldigte. Zwar sind Ehrverletzungsdelikte grundsätzlich geeignet, einen Anspruch auf Genugtuung und damit einen Zivilanspruch im Sinne von Art. 81 Abs. 1 lit. b Ziff. 5 BGG zu begründen. Nach Art. 49 OR ist eine Genugtuung jedoch nur geschuldet, sofern die Schwere der Verletzung dies rechtfertigt. Der Eingriff muss aussergewöhnlich schwer sein und in seinen Auswirkungen das Mass einer Aufregung oder einer alltäglichen Sorge klar übersteigen (Urteile 6B_534/2017 vom 20. Februar 2018 E. 1.2; 6B_94/2013 vom 3. Oktober 2013 E. 1.1; je mit Hinweisen). Der Beschwerdeführer zeigt nicht auf, inwiefern dies der Fall wäre, und es ergibt sich nicht ohne Weiteres aus den Akten. Abgesehen davon ist der Beschwerde zu entnehmen, dass sich die inkriminierten Äusserungen auf die Urteils- und Prozessfähigkeit des Beschwerdeführers im Zivilverfahren beziehen, die Beschuldigte diese für fraglich hielt und sich vor ihm fürchtete. Es besteht daher ein sachlicher Zusammenhang zwischen den Äusserungen und dem Prozess, sodass diese möglicherweise gerechtfertigt sind. Da sie ferner im Rahmen nicht öffentlicher Verfahren erfolgt sein sollen, und die Behörden an das Amts- und Berufungsgeheimnis gebunden sind, ist auch ein Ansehensverlust des Beschwerdeführers in der Öffentlichkeit nicht erkennbar zu befürchten (Urteil 6B_469/2018 vom 12. Juli 2018 E. 3.2). Dies behauptet er auch nicht. Im Übrigen scheint er sich eine Genugtuung wegen Verleumdung lediglich vorzubehalten, was zur Begründung der Legitimation ebenfalls nicht genügt (Urteil 6B_194/2017 vom 25. August 2017 E. 1.2). Auch insoweit ist auf die Beschwerde nicht einzutreten.</w:t>
      </w:r>
    </w:p>
    <w:p>
      <w:r>
        <w:rPr>
          <w:b/>
        </w:rPr>
        <w:t>E. 1.2.2</w:t>
      </w:r>
    </w:p>
    <w:p>
      <w:r>
        <w:t>Hingegen legt der Beschwerdeführer ausreichend dar, weshalb er eine Schadenersatzforderung wegen Betruges von Fr. 108.25 geltend macht. Insoweit ist auf die Beschwerde einzutreten. Unbegründet ist indes die Rüge der Verletzung des rechtlichen Gehörs. Die Vorinstanz begründet ausführlich, weshalb sie den "Methadonvertrag" für entbehrlich hält und die Verfahrenseinstellung der Staatsanwaltschaft wegen Betruges infolge angeblich unrechtmässiger Verrechnung eines Pauschalbetrages pro Methadonbezug, zusätzlich zum Selbstbehalt schützt. Ob die Begründung in der Sache zutrifft, ist keine Frage des rechtlichen Gehörs oder der Begründungspflicht, sondern der materiellen Richtigkeit des angefochtenen Entscheids. Dies ist nachfolgend zu prüfen. Ausnahmsweise unmittelbar gestützt auf Art. 29 Abs. 3 BV zu prüfen ist ferner, ob die Vorinstanz einen Anspruch des Beschwerdeführers auf unentgeltliche Rechtspflege zu Recht verneint (Urteil 6B_132/2017 vom 24. Mai 2018 E. 1.4.1).</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Rechtfertigungsgründe einen Straftatbestand unanwendbar machen (lit. c).</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somit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138 IV 186 E. 4.1, 86 E. 4.1).</w:t>
      </w:r>
    </w:p>
    <w:p>
      <w:r>
        <w:rPr>
          <w:b/>
        </w:rPr>
        <w:t>E. 2.1.2</w:t>
      </w:r>
    </w:p>
    <w:p>
      <w:r>
        <w:t>Wie die Beweise nach dem Grundsatz "in dubio pro duriore" zu würdigen sind und ob die Vorinstanz gestützt darauf einen hinreichenden Tatverdacht verneinen durfte, prüft das Bundesgericht nur auf Willkür. Es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(zum Ganzen: Urteil 6B_899/2018 vom 2. November 2018 E. 2.1.1 f.).</w:t>
      </w:r>
    </w:p>
    <w:p>
      <w:r>
        <w:rPr>
          <w:b/>
        </w:rPr>
        <w:t>E. 2.2.1</w:t>
      </w:r>
    </w:p>
    <w:p>
      <w:r>
        <w:t>Die Vorinstanz erwägt, die dem Beschwerdeführer in Rechnung gestellten Fr. 108.25 seien gemäss überzeugender Auskunft der Beschuldigten keine gesetzlichen Selbstbehalte, sondern Monatspauschalen für nicht-kassenpflichtige Leistungen gestützt auf den Behandlungs-/Methadonvertrag. Der Beschwerdeführer bestreite nicht, dass die Beschuldigte in der fraglichen Zeit solche Monatspauschalen berechnet und auf ihrer Internetseite darauf hingewiesen habe. Wenn er lediglich vorbringe, es fehle eine vertragliche Grundlage für derartige Pauschalen, sei ihm entgegen zu halten, dass die Frage nach der strafrechtlichen Relevanz der Pauschalen in einem früheren, die Beschuldigte betreffenden Verfahren (AGE BES.2014.60 vom 23. Oktober 2014) bereits beurteilt worden sei. Angesichts der vorliegenden "res iudicata" sei die Verfahrenseinstellung wegen Betruges zu Recht erfolgt.</w:t>
      </w:r>
    </w:p>
    <w:p>
      <w:r>
        <w:rPr>
          <w:b/>
        </w:rPr>
        <w:t>E. 2.2.2</w:t>
      </w:r>
    </w:p>
    <w:p>
      <w:r>
        <w:t>Der Beschwerdeführer beschränkt sich darauf, seinen bereits vorinstanzlich vorgebrachten Standpunkt zu wiederholen, was zum Nachweis von Willkür nicht genügt. Dies ist der Fall, wenn er wiederum die Glaubhaftigkeit der Aussage der Beschuldigten in Frage stellt. Wie die Vorinstanz nachvollziehbar ausführt, schmälert es diese nicht, wenn die Beschuldigte mehr als zehn Jahre nach den inkriminierten Ereignissen telefonisch und in Unkenntnis der genauen Akten angegeben hatte, es handle sich beim in Rechnung gestellten Betrag um Selbstbehalte, sie diese Einschätzung aber nach Konsultation der Akten korrigierte. Dass die Beschuldigte ihren Patienten derartige Pauschalen berechnete, bestreitet der Beschwerdeführer ebenso wenig wie die Tatsache, dass sie auf ihrer Internetseite auf diesen Umstand hinwies (vgl. oben). Entgegen seiner Auffassung verfällt die Vorinstanz vor diesem Hintergrund nicht in Willkür, wenn sie den Methadonvertrag für entbehrlich hält. Sie verletzt auch kein Bundesrecht, indem sie die Verfahrenseinstellung mangels Erfüllung des Tatbestandes schützt. Es ist nicht ersichtlich, inwiefern der Beschwerdeführer über die Leistungen der Beschuldigten sowie die Vergütungspflicht, insbesondere hinsichtlich der nicht-kassenpflichtigen Monatspauschalen, arglistig irregeführt worden sein soll. Es kann offen bleiben, ob über deren Rechtmässigkeit bereits rechtskräftig entschieden wurde - was der Beschwerdeführer im Übrigen nicht bestreitet - und wie der Betrag genau zustande kam. Soweit der Beschwerdeführer nunmehr geltend macht, es könne sich gar nicht um Monatspauschalen handeln, ist er auf seiner im bisherigen Verfahren vertretenen Argumentation zu behaften. Es geht nicht an, stets neue Begründungen für die angebliche Unrechtmässigkeit des in Rechnung gestellten Betrages vorzubringen. Die Beschwerde ist insoweit abzuweisen.</w:t>
      </w:r>
    </w:p>
    <w:p>
      <w:r>
        <w:rPr>
          <w:b/>
        </w:rPr>
        <w:t>E. 3</w:t>
      </w:r>
    </w:p>
    <w:p>
      <w:r>
        <w:t>Hingegen rügt der Beschwerdeführer zu Recht, dass nicht nachvollziehbar ist, weshalb ihm die Vorinstanz Verfahrenskosten von Fr. 600.-- auferlegt, obwohl sie sein Gesuch um unentgeltliche Rechtspflege gutheisst und seinem Rechtsvertreter unter Vorbehalt der Rückzahlungspflicht ein amtliches Honorar ausrichtet. Auf Nachfrage des Bundesgerichts hat sich denn auch ergeben, dass es sich dabei um ein Versehen handelte. Die Beschwerde ist insoweit begründet.</w:t>
      </w:r>
    </w:p>
    <w:p>
      <w:r>
        <w:rPr>
          <w:b/>
        </w:rPr>
        <w:t>E. 4</w:t>
      </w:r>
    </w:p>
    <w:p>
      <w:r>
        <w:t>Die Beschwerde ist teilweise gutzuheissen. Absatz 2 des Entscheids des Appellationsgerichts Basel-Stadt vom 7. September 2018 ist aufzuheben und die Sache ist an dieses zurückzuweisen. Im Übrigen ist die Beschwerde abzuweisen, soweit darauf einzutreten ist. Im Umfang seines Obsiegens sind dem Beschwerdeführer keine Kosten aufzuerlegen und hat ihm die Vorinstanz eine Parteientschädigung auszurichten (Art. 66 Abs. 1, Art. 68 Abs. 1 und 2 BGG ). Das Gesuch um unentgeltliche Rechtspflege ist insoweit als gegenstandslos abzuschreiben. Im Übrigen ist es infolge Aussichtslosigkeit abzuweisen. Den finanziellen Verhältnissen des Beschwerdeführers ist bei der Bemessung der Kosten Rechnung zu tragen (Art. 64 Abs. 1 und 2, 65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