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6B_1227/2020 vom 3. Dezember 2020</w:t>
      </w:r>
    </w:p>
    <w:p>
      <w:r>
        <w:t>Bundesgericht, 2020-12-03, FR</w:t>
      </w:r>
    </w:p>
    <w:p>
      <w:r>
        <w:rPr>
          <w:b/>
        </w:rPr>
        <w:t xml:space="preserve">Quelle: </w:t>
      </w:r>
      <w:r>
        <w:t>https://mcp.opencaselaw.ch/entscheid/bger_6B_1227_2020</w:t>
      </w:r>
    </w:p>
    <w:p>
      <w:r>
        <w:t>FR: TF 6B_1227/2020 du 3 décembre 2020</w:t>
      </w:r>
    </w:p>
    <w:p>
      <w:r>
        <w:t>IT: TF 6B_1227/2020 del 3 dicembre 2020</w:t>
      </w:r>
    </w:p>
    <w:p>
      <w:pPr>
        <w:pStyle w:val="Heading2"/>
      </w:pPr>
      <w:r>
        <w:t>Erwägungen</w:t>
      </w:r>
    </w:p>
    <w:p>
      <w:r>
        <w:rPr>
          <w:b/>
        </w:rPr>
        <w:t>E. 1</w:t>
      </w:r>
    </w:p>
    <w:p>
      <w:r>
        <w:t>Par acte du 18 octobre 2020, A.________ recourt contre une décision du 13 octobre 2020 par laquelle la Cour d'appel du Tribunal pénal fédéral n'est pas entrée en matière sur une demande de révision dirigée par A.________ contre une décision du 18 août 2020 émanant de la Cour des plaintes du Tribunal pénal fédéral, déclarant irrecevable, parce que tardif, le recours interjeté par A.________ contre une ordonnance du 23 juillet 2020. Par cette dernière, le Ministère public de la Confédération a refusé d'entrer en matière sur une plainte du 7 mars 2020, initialement adressée au Ministère public du canton de Berne mais transmise par celui-ci à celui-là, et dans laquelle A.________, qui s'en prenait au " Gouvernement suisse ", faisait état de " gestion déloyale de [son] dossier, abus de pouvoir, tortures mentales et physiques avec emprisonnement [ou empoisonnement] et drogues inconnues [...] psychanalyses illégales effectuées sur [sa] personne, tentative de meurtre et non assistance à personne en danger ".</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Enfin, lorsque la décision querellée repose sur une double motivation dont chaque pan est indépendant et suffit à sceller l'issue de la procédure cantonale, il importe, sous peine d'irrecevabilité, de discuter chacune de ces deux motivations (cf. ATF 133 IV 119 consid. 6.3 p. 120).</w:t>
      </w:r>
    </w:p>
    <w:p>
      <w:r>
        <w:t>En l'espèce, la décision contestée a pour seul objet le refus d'entrer en matière sur une demande de révision dirigée contre une décision de la Cour des plaintes. En bref, la Cour d'appel a jugé que la voie de la révision n'était pas ouverte contre la décision du 18 août 2020 que ce soit en application des art. 37 al. 1 et 2 ainsi que 40 LOAP en corrélation avec les art. 121 à 128 LTF ou des art. 410 ss CPP . On comprend également du consid. 1.2.3.2 de la décision entreprise que la Cour d'appel a jugé, par surabondance, que la motivation de la demande de révision n'était pas suffisante, en particulier quant à la tardiveté du recours à la Cour des plaintes et à l'éventualité d'une demande de restitution de ce délai de recours.</w:t>
      </w:r>
    </w:p>
    <w:p>
      <w:r>
        <w:t>Dans son écriture du 18 octobre 2020, A.________ se borne à affirmer avoir respecté le délai pour recourir à la Cour des plaintes et à discuter le fond de la plainte du 7 mars 2020 en se plaignant d'injustices. Ces considérations, sans rapport avec les questions juridiques traitées par l'autorité précédant le Tribunal fédéral, laissent aussi intacte toute la motivation juridique relative à l'irrecevabilité de la demande de révision eu égard à son objet.</w:t>
      </w:r>
    </w:p>
    <w:p>
      <w:r>
        <w:rPr>
          <w:b/>
        </w:rPr>
        <w:t>E. 3</w:t>
      </w:r>
    </w:p>
    <w:p>
      <w:r>
        <w:t>L'irrecevabilité est patente. Elle doit être constatée dans la procédure prévue par l' art. 108 al. 1 let. b LTF , ce qui conduit, par ailleurs, au refus de l'assistance judiciaire requise par le recourant ( art. 64 al. 1 et 3 LTF ). Le recourant supporte des frais réduits,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