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1225/2023 vom 29. Januar 2024</w:t>
      </w:r>
    </w:p>
    <w:p>
      <w:r>
        <w:t>Bundesgericht, 2024-01-29, FR</w:t>
      </w:r>
    </w:p>
    <w:p>
      <w:r>
        <w:rPr>
          <w:b/>
        </w:rPr>
        <w:t xml:space="preserve">Quelle: </w:t>
      </w:r>
      <w:r>
        <w:t>https://mcp.opencaselaw.ch/entscheid/bger_6B_1225_2023</w:t>
      </w:r>
    </w:p>
    <w:p>
      <w:r>
        <w:t>FR: TF 6B 1225/2023 du 29 janvier 2024</w:t>
      </w:r>
    </w:p>
    <w:p>
      <w:r>
        <w:t>IT: TF 6B 1225/2023 del 29 gennaio 2024</w:t>
      </w:r>
    </w:p>
    <w:p>
      <w:pPr>
        <w:pStyle w:val="Heading2"/>
      </w:pPr>
      <w:r>
        <w:t>Regeste</w:t>
      </w:r>
    </w:p>
    <w:p>
      <w:r>
        <w:t>Violation simple des règles de la circulation routière; arbitraire, présomption d'innocence | Infractions</w:t>
      </w:r>
    </w:p>
    <w:p>
      <w:pPr>
        <w:pStyle w:val="Heading2"/>
      </w:pPr>
      <w:r>
        <w:t>Erwägungen</w:t>
      </w:r>
    </w:p>
    <w:p>
      <w:r>
        <w:rPr>
          <w:b/>
        </w:rPr>
        <w:t>E. 1</w:t>
      </w:r>
    </w:p>
    <w:p>
      <w:r>
        <w:t>Le recourant conteste avoir manipulé son téléphone portable en conduisant, au motif que son véhicule était équipé d'un dispositif mains-libres. Il soutient que les agents de police ont été dans l'incapacité de se souvenir des faits lors de leur audition et de fournir la moindre précision, de sorte que valider sa condamnation sur la base d'un rapport imprécis et sans autre élément de preuve est arbitraire et viole le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La présomption d'innocence, garantie par les art. 10 CPP , 32 al. 1 Cst., 14 par. 2 Pacte ONU II et 6 par. 2 CEDH, ainsi que son corollaire, le principe 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1.2</w:t>
      </w:r>
    </w:p>
    <w:p>
      <w:r>
        <w:t>Le recourant allègue que l'autorité cantonale aurait à tort retenu qu'il n'avait pas contesté les faits au moment du contrôle et que, de toute façon, sa supposée inaction serait sans incidence dans la mesure où il appartient à l'accusation de prouver la commission de l'infraction. La cour cantonale a considéré en substance que le recourant avait été verbalisé sur le champ et n'avait pas contesté l'infraction. Examinant l'état de fait avec un pouvoir d'examen réduit ( art. 398 al. 4 CPP ), elle a souligné qui si tel avait été le cas, le policier observateur aurait été appelé afin de fournir des explications à ses collègues, ce qui n'avait pas eu lieu. Ces constatations ne sont en rien arbitraires. En effet, lors de son interrogatoire, l'agent observateur a indiqué que si la personne conteste l'infraction, il est appelé par ses collègues soit pour donner des précisions, soit pour se rendre auprès du contrevenant pour donner des explications. Il a souligné que, dans ce cas, il n'avait pas été appelé par ses collègues. Cela étant et contrairement aux allégations du recourant sur ce point, la cour cantonale ne s'est nullement fondée sur l'absence de contestation ou d'opposition motivée pour en déduire qu'il aurait admis sa culpabilité. Bien au contraire, elle a fondé sa conviction, en premier lieu sur le rapport de contravention et sur les témoignages des agents concernant les modalités de la mission, en écartant la version du recourant. Elle a en particulier relevé que le rapport, rédigé deux jours après les faits, était précis et exhaustif. La cour a indiqué que, selon les déclarations du recourant, le contrôle avait " dégénéré un peu ", ce qui ne ressortait nullement du rapport de police. Or, si tel avait été le cas, soit le rapport en aurait fait état, soit le policier observateur aurait été interpellé par ses collègues. Le recourant échoue à démontrer l'arbitraire de cette constatation, étant rappelé que le pouvoir de cognition de la cour cantonale est limité lorsque seule une contravention fait l'objet de la procédure (cf. art. 398 al. 4 CPP ). Enfin, il ne conteste pas la constatation selon laquelle l'agent annonceur voyait les mains du conducteur et, s'il éprouvait un doute, ce qui pouvait arriver, il ne dénonçait pas le cas.</w:t>
      </w:r>
    </w:p>
    <w:p>
      <w:r>
        <w:rPr>
          <w:b/>
        </w:rPr>
        <w:t>E. 1.3</w:t>
      </w:r>
    </w:p>
    <w:p>
      <w:r>
        <w:t>Le recourant soutient également que l'incapacité des agents de police à se souvenir des circonstances de l'intervention et le caractère lacunaire du rapport de contravention auraient dû amener l'autorité cantonale à douter de la véracité des faits consignés. Le recourant oppose sa propre appréciation des événements à celle de la cour cantonale dans une démarche purement appellatoire, partant, irrecevable. C'est le cas en particulier lorsqu'il soutient que l'absence de souvenirs précis des policiers sur les faits aurait pour conséquence qu'il n'a pas commis l'infraction. La cour cantonale a considéré, sans arbitraire, qu'il était compréhensible qu'après un certain laps de temps, les agents ne soient plus en mesure de se souvenir des particularités du contrôle. Ce d'autant plus qu'il s'agit de contrôles de police usuels. Sur ce point, le recourant échoue à démontrer l'arbitraire de l'appréciation selon laquelle, dans le cadre de missions fréquentes (toutes les trois à quatre semaines) pour des infractions routières de masse, les policiers ne se rappellent plus, des mois après, voire une année plus tard, des modalités exactes dudit contrôle. Quoi qu'il en soit, le recourant ne saurait en déduire que l'agent observateur se serait trompé dans son appréciation. L'argumentation du recourant ne permet pas de saisir dans quelle mesure le rapport de contravention omettrait d'indiquer les circonstances de l'infraction, puisque celles-ci figurent expressément sous la rubrique "faits constatés/actes d'enquête effectués" du document, lequel contient également le nom des agents de police participant à la mission (cf. supra let. B.a et B.b). Sous cet angle, son grief ne remplit manifestement pas les exigences de motivation de l' art. 106 al. 2 LTF . Pour le surplus, le recourant ne forme aucun grief recevable s'agissant de la répartition des tâches entre les agents pendant la mission et la valeur probante du rapport de police qui en découle. En définitive, sur la base de l'ensemble des éléments à disposition, la cour cantonale pouvait, sans arbitraire et sans violer le principe in dubio pro reo , retenir que le recourant manipulait son téléphone portable tout en conduisant.</w:t>
      </w:r>
    </w:p>
    <w:p>
      <w:r>
        <w:rPr>
          <w:b/>
        </w:rPr>
        <w:t>E. 2</w:t>
      </w:r>
    </w:p>
    <w:p>
      <w:r>
        <w:t>Mal fondé,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