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6B_1225/2020 vom 4. November 2020</w:t>
      </w:r>
    </w:p>
    <w:p>
      <w:r>
        <w:t>Bundesgericht, 2020-11-04, FR</w:t>
      </w:r>
    </w:p>
    <w:p>
      <w:r>
        <w:rPr>
          <w:b/>
        </w:rPr>
        <w:t xml:space="preserve">Quelle: </w:t>
      </w:r>
      <w:r>
        <w:t>https://mcp.opencaselaw.ch/entscheid/bger_6B_1225_2020</w:t>
      </w:r>
    </w:p>
    <w:p>
      <w:r>
        <w:t>FR: TF 6B_1225/2020 du 4 novembre 2020</w:t>
      </w:r>
    </w:p>
    <w:p>
      <w:r>
        <w:t>IT: TF 6B_1225/2020 del 4 novembre 2020</w:t>
      </w:r>
    </w:p>
    <w:p>
      <w:pPr>
        <w:pStyle w:val="Heading2"/>
      </w:pPr>
      <w:r>
        <w:t>Erwägungen</w:t>
      </w:r>
    </w:p>
    <w:p>
      <w:r>
        <w:rPr>
          <w:b/>
        </w:rPr>
        <w:t>E. 1.1</w:t>
      </w:r>
    </w:p>
    <w:p>
      <w:r>
        <w:t>Par courrier du 11 juin 2020 adressé au Procureur général du canton de Vaud, A.________ a dénoncé les agissements de la société C.________ SA en relation avec un accident du travail qu'il aurait subi en 2014, alors qu'il n'était pas déclaré par son employeur. Selon lui, cet accident n'aurait ensuite pas été dénoncé auprès de B.________.</w:t>
      </w:r>
    </w:p>
    <w:p>
      <w:r>
        <w:t>Le 2 juillet 2020, le prénommé a complété sa plainte, sur invitation du ministère public, en expliquant qu'il reprochait également à C.________ SA de ne pas avoir déclaré son contrat de travail à l'AVS.</w:t>
      </w:r>
    </w:p>
    <w:p>
      <w:r>
        <w:rPr>
          <w:b/>
        </w:rPr>
        <w:t>E. 1.2</w:t>
      </w:r>
    </w:p>
    <w:p>
      <w:r>
        <w:t>Par ordonnance du 19 août 2020, le Procureur général vaudois a refusé d'entrer en matière sur cette plainte.</w:t>
      </w:r>
    </w:p>
    <w:p>
      <w:r>
        <w:rPr>
          <w:b/>
        </w:rPr>
        <w:t>E. 1.3</w:t>
      </w:r>
    </w:p>
    <w:p>
      <w:r>
        <w:t>Par arrêt du 14 septembre 2020, la Chambre des recours pénale du Tribunal cantonal du canton de Vaud a rejeté - dans la mesure de sa recevabilité - le recours formé par A.________ contre cette ordonnance de non-entrée en matière et a confirmé celle-ci.</w:t>
      </w:r>
    </w:p>
    <w:p>
      <w:r>
        <w:rPr>
          <w:b/>
        </w:rPr>
        <w:t>E. 1.4</w:t>
      </w:r>
    </w:p>
    <w:p>
      <w:r>
        <w:t>A.________ forme un recours en matière pénale au Tribunal fédéral contre l'arrêt du 14 septembre 2020, en concluant en substance à sa réforme en ce sens qu'une instruction pénale est ouverte à l'encontre des administrateurs de C.________SA. Il demande aussi au Tribunal fédéral de lui indiquer quel organisme est compétent pour prendre en charge l'accident de travail dont il prétend avoir été victime et quelles démarches devraient être entreprises à cet effet. Il sollicite par ailleurs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l'espèce, le recourant n'indique aucunement quelles prétentions civiles il pourrait déduire des infractions à la loi fédérale sur l'assurance-vieillesse et survivants (LAVS; RS 831.10) et à la loi fédérale sur la prévoyance professionnelle vieillesse, survivants et invalidité (LPP; RS 831.40) dont il se plaint.</w:t>
      </w:r>
    </w:p>
    <w:p>
      <w:r>
        <w:t>En l'absence de toute explication sur ce point, l'intéressé n'a pas qualité pour recourir au Tribunal fédéral au regard de l'art. 81 al. 1 let. b ch. 5 LTF.</w:t>
      </w:r>
    </w:p>
    <w:p>
      <w:r>
        <w:rPr>
          <w:b/>
        </w:rPr>
        <w:t>E. 2.3</w:t>
      </w:r>
    </w:p>
    <w:p>
      <w:r>
        <w:t>Pour le surplus, le recourant ne se plaint pas - d'une manière recevable - d'une violation de son droit de porter plainte au sens de l'art. 81 al. 1 let. b ch. 6 LTF, ni d'une éventuelle atteinte à ses droits de partie équivalant à un déni de justice formel (cf. ATF 141 IV 1 consid. 1.1 p. 5 et les références citées).</w:t>
      </w:r>
    </w:p>
    <w:p>
      <w:r>
        <w:rPr>
          <w:b/>
        </w:rPr>
        <w:t>E. 3</w:t>
      </w:r>
    </w:p>
    <w:p>
      <w:r>
        <w:t>L'irrecevabilité du recours est manifeste et doit être constatée dans la procédure prévue par l' art. 108 al. 1 let. a LTF . Comme le recours était voué à l'échec, l'assistance judiciaire ne peut être accordée ( art. 64 al. 1 LTF ). Il peut être exceptionnellement renoncé à percevoir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