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6B_1223/2023 vom 8. November 2023</w:t>
      </w:r>
    </w:p>
    <w:p>
      <w:r>
        <w:t>Bundesgericht, 2023-11-08, DE</w:t>
      </w:r>
    </w:p>
    <w:p>
      <w:r>
        <w:rPr>
          <w:b/>
        </w:rPr>
        <w:t xml:space="preserve">Quelle: </w:t>
      </w:r>
      <w:r>
        <w:t>https://mcp.opencaselaw.ch/entscheid/bger_6B_1223_2023</w:t>
      </w:r>
    </w:p>
    <w:p>
      <w:r>
        <w:t>FR: TF 6B_1223/2023 du 8 novembre 2023</w:t>
      </w:r>
    </w:p>
    <w:p>
      <w:r>
        <w:t>IT: TF 6B_1223/2023 del 8 novembre 2023</w:t>
      </w:r>
    </w:p>
    <w:p>
      <w:pPr>
        <w:pStyle w:val="Heading2"/>
      </w:pPr>
      <w:r>
        <w:t>Erwägungen</w:t>
      </w:r>
    </w:p>
    <w:p>
      <w:r>
        <w:rPr>
          <w:b/>
        </w:rPr>
        <w:t>E. 1</w:t>
      </w:r>
    </w:p>
    <w:p>
      <w:r>
        <w:t>Das Obergericht des Kantons Solothurn trat am 28. September 2023 auf eine kantonale Beschwerde wegen Verspätung nicht ein. Die Beschwerdeführerin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es nur um die Fristwahrung im kantonalen Beschwerdeverfahren und um die Frage gehen, ob die Vorinstanz zu Recht wegen Verspätung auf die Beschwerde nicht eingetreten ist. Dazu äussert sich die Beschwerdeführerin vor Bundesgericht mit keinem Wort. Stattdessen nimmt sie in langen Ausführungen auf eine aus ihrer Sicht dramatische Lebens- und Leidensgeschichte im Kanton Waadt mit Flucht in den Kanton Solothurn Bezug, welche indessen nicht Verfahrensgegenstand bildet und womit sich das Bundesgericht folglich auch nicht befassen kann. Aus der Beschwerde ergibt sich somit nicht, dass und inwiefern die Vorinstanz mit dem angefochtenen Beschluss Recht im Sinne von Art. 95 BGG verletzt haben könnte. Der Begründungsmangel ist evident. Auf die Beschwerde ist im Verfahren nach Art. 108 BGG nicht einzutreten.</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