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6B_1223/2016 vom 17. November 2016</w:t>
      </w:r>
    </w:p>
    <w:p>
      <w:r>
        <w:t>Bundesgericht, 2016-11-17, FR</w:t>
      </w:r>
    </w:p>
    <w:p>
      <w:r>
        <w:rPr>
          <w:b/>
        </w:rPr>
        <w:t xml:space="preserve">Quelle: </w:t>
      </w:r>
      <w:r>
        <w:t>https://mcp.opencaselaw.ch/entscheid/bger_6B_1223_2016</w:t>
      </w:r>
    </w:p>
    <w:p>
      <w:r>
        <w:t>FR: TF 6B_1223/2016 du 17 novembre 2016</w:t>
      </w:r>
    </w:p>
    <w:p>
      <w:r>
        <w:t>IT: TF 6B_1223/2016 del 17 novembre 2016</w:t>
      </w:r>
    </w:p>
    <w:p>
      <w:pPr>
        <w:pStyle w:val="Heading2"/>
      </w:pPr>
      <w:r>
        <w:t>Erwägungen</w:t>
      </w:r>
    </w:p>
    <w:p>
      <w:r>
        <w:rPr>
          <w:b/>
        </w:rPr>
        <w:t>E. 1</w:t>
      </w:r>
    </w:p>
    <w:p>
      <w:r>
        <w:t>Par ordonnance du 22 septembre 2016, la Chambre pénale du Tribunal cantonal valaisan, faisant siens les éléments de faits et de procédure ressortant de sa décision du 23 juillet 2013 dans la procédure P3 13 32, a rejeté dans la mesure où il était recevable, le recours de X.B.________ et X.A.________ contre les ordonnances du 24 novembre 2015 refusant un complément de preuve et ordonnant le classement de la procédure ouverte le 30 novembre 2012 contre A.________, agent du commerce de la commune de C.________, et B.________, président de la commune de C.________, pour dommages à la propriété, violation de domicile, contrainte, soustraction de choses mobilières, vol et abus d'autorité.</w:t>
      </w:r>
    </w:p>
    <w:p>
      <w:r>
        <w:rPr>
          <w:b/>
        </w:rPr>
        <w:t>E. 2</w:t>
      </w:r>
    </w:p>
    <w:p>
      <w:r>
        <w:t>X.B.________ et X.A.________ recourent en matière pénale au Tribunal fédéral contre l'ordonnance cantonale dont ils demandent l'annulation et le renvoi du dossier à la juridiction cantonale en vue de la mise en oeuvre d'une instruction complémentaire, puis du prononcé d'une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 art. 42 al. 1 LTF )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w:t>
      </w:r>
    </w:p>
    <w:p>
      <w:r>
        <w:t>Les recourants ne se déterminent nullement sur un éventuel tort moral ou dommage, ni sur leur principe ni sur leur quotité. Ils n'expliquent en particulier pas en quoi ils disposeraient de prétentions fondées sur le droit civil, d'éventuelles prétentions reposant sur le droit public à raison de la responsabilité éventuelle d'agents de la commune de C.________ n'entrant pas dans cette catégorie (cf. loi valaisanne du 10 mai 1987 sur la responsabilité des collectivités publiques et de leurs agents [LRCPA; RS/VS 170.1]). L'absence d'explication sur la question des prétentions civiles exclut leur qualité pour recourir sur le fond de la cause.</w:t>
      </w:r>
    </w:p>
    <w:p>
      <w:r>
        <w:rPr>
          <w:b/>
        </w:rPr>
        <w:t>E. 2.2</w:t>
      </w:r>
    </w:p>
    <w:p>
      <w:r>
        <w:t>L'hypothèse visée à l'art. 81 al. 1 let. b ch. 6 LTF n'entre pas en considération, les recourants ne soulevant aucun grief recevable quant à leur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