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1222/2018 vom 3. Mai 2019</w:t>
      </w:r>
    </w:p>
    <w:p>
      <w:r>
        <w:t>Bundesgericht, 2019-05-03, FR</w:t>
      </w:r>
    </w:p>
    <w:p>
      <w:r>
        <w:rPr>
          <w:b/>
        </w:rPr>
        <w:t xml:space="preserve">Quelle: </w:t>
      </w:r>
      <w:r>
        <w:t>https://mcp.opencaselaw.ch/entscheid/bger_6B_1222_2018</w:t>
      </w:r>
    </w:p>
    <w:p>
      <w:r>
        <w:t>FR: TF 6B 1222/2018 du 3 mai 2019</w:t>
      </w:r>
    </w:p>
    <w:p>
      <w:r>
        <w:t>IT: TF 6B 1222/2018 del 3 maggio 2019</w:t>
      </w:r>
    </w:p>
    <w:p>
      <w:pPr>
        <w:pStyle w:val="Heading2"/>
      </w:pPr>
      <w:r>
        <w:t>Regeste</w:t>
      </w:r>
    </w:p>
    <w:p>
      <w:r>
        <w:t>Expertise psychiatrique ; arbitraire | Procédure pénale</w:t>
      </w:r>
    </w:p>
    <w:p>
      <w:pPr>
        <w:pStyle w:val="Heading2"/>
      </w:pPr>
      <w:r>
        <w:t>Erwägungen</w:t>
      </w:r>
    </w:p>
    <w:p>
      <w:r>
        <w:rPr>
          <w:b/>
        </w:rPr>
        <w:t>E. 1</w:t>
      </w:r>
    </w:p>
    <w:p>
      <w:r>
        <w:t>Le Tribunal fédéral examine d'office ( art. 29 al. 1 LTF ) et librement la recevabilité des recours qui lui sont soumis ( ATF 143 IV 357 consid. 1 p. 358). 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arrêts 6B_111/2015 du 3 mars 2016 consid. 1.7 non publié aux ATF 142 IV 196 ; 6B_376/2019 du 16 avril 2019 consid. 1). En l'espèce, le recourant conclut certes à la réforme du jugement attaqué, mais ne sollicite en réalité que son annulation et le renvoi de la cause en première instance pour la mise en oeuvre d'une expertise psychiatrique. Ce faisant, le recourant ne prend pas de conclusions sur le fond du litige, d'autant qu'il ne discute pas, dans son mémoire de recours fédéral, les infractions retenues à son encontre ni, en soi, la motivation de la peine prononcée à son encontre. Les motifs du recours permettent toutefois de comprendre qu'il se plaint du refus de mettre en oeuvre une expertise psychiatre et, partant, d'une violation de l' art. 20 CP . On en déduit qu'il entend se prévaloir d'une responsabilité restreinte en tant que motif d'atténuation de peine ( art. 19 al. 2 CP ). Il y a dès lors lieu, dans cette mesure, d'entrer en matière.</w:t>
      </w:r>
    </w:p>
    <w:p>
      <w:r>
        <w:rPr>
          <w:b/>
        </w:rPr>
        <w:t>E. 2</w:t>
      </w:r>
    </w:p>
    <w:p>
      <w:r>
        <w:t>Le recourant reproche à la cour cantonale d'avoir arbitrairement omis de tenir compte du taux de THCCOOH mesuré dans son sang à la suite de son arrestation en date du 9 juin 2017. Il reproche également à la cour cantonale de l'avoir considéré comme un simple consommateur alors qu'il serait en réalité dépendant à cette substance. Il soutient à cet égard que les circonstances commandaient d'ordonner une expertise concernant sa responsabilité.</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ATF 143 IV 500 consid. 1.1 p. 503 et les références citées).</w:t>
      </w:r>
    </w:p>
    <w:p>
      <w:r>
        <w:rPr>
          <w:b/>
        </w:rPr>
        <w:t>E. 2.2</w:t>
      </w:r>
    </w:p>
    <w:p>
      <w:r>
        <w:t>Selon l' art. 20 CP ,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(arrêts 6B_987/2017 du 12 février 2018 consid. 1.1; 6B_352/2014 du 22 mai 2015 consid. 5.1 non publié aux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 ATF 116 IV 273 consid. 4a p. 274; arrêt 6B_341/2010 du 20 juillet 2010 consid. 3.3.1).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 6B_987/2017 précité consid. 1.1 et les références citées).</w:t>
      </w:r>
    </w:p>
    <w:p>
      <w:r>
        <w:rPr>
          <w:b/>
        </w:rPr>
        <w:t>E. 2.3</w:t>
      </w:r>
    </w:p>
    <w:p>
      <w:r>
        <w:t>En l'espèce, le recourant perd de vue que la dépendance au cannabis dont il se prévaut ne représente pas en soi, pas plus qu'une simple consommation de cette substance, un élément intrinsèquement suffisant pour fonder un doute sur la responsabilité pénale. L'argumentation qu'il développe pour tenter de démontrer que la cour cantonale aurait arbitrairement omis de prendre en considération une dépendance effective au cannabis est par conséquent, si tant est qu'elle soit recevable ( art 106 al. 2 LTF ), dépourvue de pertinence. En toute hypothèse, la seule question décisive est celle de savoir si les stupéfiants consommés sont susceptibles d'avoir concrètement entraîné, dans le cadre des faits qui lui sont imputés, une nette perturbation de ses facultés cognitives et volitives. Or, sur ce point, la cour cantonale a retenu que le rapport médical établi le 5 (recte: le 9) juin 2017 par le médecin appelé à examiner le recourant après son arrestation (pièce 38) ne faisait état d'aucune altération de l'attention. Ce même rapport précise en particulier que l'incapacité du recourant était indécelable. Ainsi, quoi qu'en dise le recourant, ces éléments permettaient à la cour cantonale de retenir, sans nullement verser dans l'arbitraire, qu'il n'existait pas d'indices sérieux propres à douter de sa responsabilité pénale. C'est donc à bon droit qu'elle a refusé d'ordonner une expertise psychiatrique le concernant. Ses griefs se révèlent dès lors mal fondés.</w:t>
      </w:r>
    </w:p>
    <w:p>
      <w:r>
        <w:rPr>
          <w:b/>
        </w:rPr>
        <w:t>E. 3</w:t>
      </w:r>
    </w:p>
    <w:p>
      <w:r>
        <w:t>Il s'ensuit que le recours doit être rejeté dans la mesure où il est recevable. Son recours était dépourvu de chance de succès, si bien que sa demande d'assistance judiciaire doit être rejetée. Le recourant, qui succombe, supporte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