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6B_1221/2016 vom 1. Dezember 2016</w:t>
      </w:r>
    </w:p>
    <w:p>
      <w:r>
        <w:t>Bundesgericht, 2016-12-01, FR</w:t>
      </w:r>
    </w:p>
    <w:p>
      <w:r>
        <w:rPr>
          <w:b/>
        </w:rPr>
        <w:t xml:space="preserve">Quelle: </w:t>
      </w:r>
      <w:r>
        <w:t>https://mcp.opencaselaw.ch/entscheid/bger_6B_1221_2016</w:t>
      </w:r>
    </w:p>
    <w:p>
      <w:r>
        <w:t>FR: TF 6B_1221/2016 du 1 décembre 2016</w:t>
      </w:r>
    </w:p>
    <w:p>
      <w:r>
        <w:t>IT: TF 6B_1221/2016 del 1 dicembre 2016</w:t>
      </w:r>
    </w:p>
    <w:p>
      <w:pPr>
        <w:pStyle w:val="Heading2"/>
      </w:pPr>
      <w:r>
        <w:t>Erwägungen</w:t>
      </w:r>
    </w:p>
    <w:p>
      <w:r>
        <w:rPr>
          <w:b/>
        </w:rPr>
        <w:t>E. 1</w:t>
      </w:r>
    </w:p>
    <w:p>
      <w:r>
        <w:t>Par arrêt du 19 août 2016, la Chambre des recours pénale du Tribunal cantonal du canton de Vaud a rejeté, dans la mesure où il était recevable, le recours formé par X.________ SA à l'encontre de l'ordonnance de classement rendue le 17 juin 2016 sur sa plainte contre A.________ et B.________ pour gestion fautive. X.________ SA recourt en matière pénale au Tribunal fédéral contre cet arrêt, concluant, avec suite de dépens, à son annulation et au renvoi de la cause au Ministère public.</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La recourante fait état d'une procédure civile actuellement pendante contre A.________ et B.________ qui repose sur l' art. 754 CO . Elle relève que les conditions pour admettre une responsabilité selon cette disposition sont plus souples que celles fondées sur l' art. 165 CP et mentionne que l'issue de la procédure pénale n'est donc pas déterminante pour l'issue de la demande civile mais peut néanmoins avoir des effets. De telles explications sont insuffisantes. Il ne s'agit pas ici d'apprécier la portée de la procédure pénale sur une procédure civile pendante. Il incombait à la recourante d'exposer spécifiquement quelles prétentions civiles déduites directement de l'infraction réprimée par l' art. 165 CP elle entendait faire valoir dans la procédure pénale elle-même à l'encontre de A.________ et B.________ individuellement. Elle n'en dit rien. Faute d'explication suffisante conforme à l' art. 42 LTF , sa qualité pour recourir sur le fond de la cause doit être déniée.</w:t>
      </w:r>
    </w:p>
    <w:p>
      <w:r>
        <w:rPr>
          <w:b/>
        </w:rPr>
        <w:t>E. 2.2</w:t>
      </w:r>
    </w:p>
    <w:p>
      <w:r>
        <w:t>L'hypothèse visée à l'art. 81 al. 1 let. b ch. 6 LTF n'entre pas en considération, la recourante ne soulevant aucun grief recevable quant à son droit de porter plainte (cf. art. 42 al. 2 et art. 106 al. 2 LTF ).</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l'espèce, la recourante ne soulève aucun grief spécifique tiré d'une violation de ses droits de partie.</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