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6B_1220/2020 vom 1. Juli 2021</w:t>
      </w:r>
    </w:p>
    <w:p>
      <w:r>
        <w:t>Bundesgericht, 2021-07-01, FR</w:t>
      </w:r>
    </w:p>
    <w:p>
      <w:r>
        <w:rPr>
          <w:b/>
        </w:rPr>
        <w:t xml:space="preserve">Quelle: </w:t>
      </w:r>
      <w:r>
        <w:t>https://mcp.opencaselaw.ch/entscheid/bger_6B_1220_2020</w:t>
      </w:r>
    </w:p>
    <w:p>
      <w:r>
        <w:t>FR: TF 6B_1220/2020 du 1 juillet 2021</w:t>
      </w:r>
    </w:p>
    <w:p>
      <w:r>
        <w:t>IT: TF 6B_1220/2020 del 1 luglio 2021</w:t>
      </w:r>
    </w:p>
    <w:p>
      <w:pPr>
        <w:pStyle w:val="Heading2"/>
      </w:pPr>
      <w:r>
        <w:t>Erwägungen</w:t>
      </w:r>
    </w:p>
    <w:p>
      <w:r>
        <w:rPr>
          <w:b/>
        </w:rPr>
        <w:t>E. 1</w:t>
      </w:r>
    </w:p>
    <w:p>
      <w:r>
        <w:t>La recourante conteste l'application de l' art. 219 CP .</w:t>
      </w:r>
    </w:p>
    <w:p>
      <w:r>
        <w:rPr>
          <w:b/>
        </w:rPr>
        <w:t>E. 1.1</w:t>
      </w:r>
    </w:p>
    <w:p>
      <w:r>
        <w:t>En relation avec la violation du devoir d'assistance ou d'éducation, la cour cantonale a retenu que la recourante avait de plusieurs manières empêché le père de ses enfants d'exercer son droit de visite. Ainsi, de mai 2015 à septembre 2016, elle avait régulièrement retiré ses enfants de l'école avant la fin des cours le vendredi après-midi afin d'empêcher leur père de les prendre en charge. Durant les vacances de Noël 2015 et d'été 2016, elle avait quitté la Suisse, empêchant l'exercice du droit de visite pour la période du 24 au 31 décembre 2015 ainsi que la moitié des mois de juillet et août 2016. Enfin, elle avait fait échec à la reprise du droit de visite prévue à partir du 22 septembre 2018 et ce jusqu'à la fin de la période pénale en avril 2019, de sorte que les enfants n'ont, sauf à de très rares occasions, pas revu leur père entre mai 2015 et août 2020, date du jugement attaqué. La cour cantonale a considéré que cette attitude avait sérieusement porté atteinte, à long terme, au lien des enfants avec leur père, mettant ainsi indéniablement en danger leur développement psychique. Elle a estimé que l'absence de preuve d'un lien de causalité, même partiel, entre les troubles constatés chez les enfants et la violation de ses devoirs parentaux imputée à la recourante était sans importance car il suffisait que le développement des mineurs ait été concrètement mis en danger, ce qui était démontré à satisfaction de droit compte tenu de la durée des actes, qui ont détérioré les rapports entre le père et les enfants sur le long terme, et de l'importance de ces rapports, tout particulièrement dans le contexte de séparation conflictuelle en cause.</w:t>
      </w:r>
    </w:p>
    <w:p>
      <w:r>
        <w:rPr>
          <w:b/>
        </w:rPr>
        <w:t>E. 1.2</w:t>
      </w:r>
    </w:p>
    <w:p>
      <w:r>
        <w:t>L' art. 219 al. 1 CP punit d'une peine privative de liberté de trois ans au plus ou d'une peine pécuniaire celui qui aura violé son devoir d'assister ou d'élever une personne mineure dont il aura ainsi mis en danger le développement physique ou psychique, ou qui aura manqué à ce devoir. Cette disposition protège le développement physique et psychique du mineur, soit d'une personne âgée de moins de 18 ans ( ATF 126 IV 136 consid. 1b et les références citées).</w:t>
      </w:r>
    </w:p>
    <w:p>
      <w:r>
        <w:t>Pour que cette disposition soit applicable, il faut d'abord que l'auteur ait eu envers une personne mineure un devoir d'assistance, c'est-à-dire de protection, ou un devoir d'éducation, c'est-à-dire d'assurer son développement, sur le plan corporel, spirituel et psychique; cette obligation et, partant, la position de garant de l'auteur peut être fondée sur la loi, sur une décision de l'autorité ou sur un contrat, voire sur une situation de fait ( ATF 125 IV 64 consid. 1a et les références citées). Sont notamment considérés comme des garants les parents naturels ( ATF 125 IV 64 consid. 1a), de sorte que cet élément est manifestement réalisé en l'espèce.</w:t>
      </w:r>
    </w:p>
    <w:p>
      <w:r>
        <w:t>Il faut ensuite que l'auteur ait violé son devoir d'assistance ou d'éducation ou qu'il ait manqué à ce devoir. Le comportement délictueux peut donc consister en une action, par exemple des sévices envers le mineur, ou en une omission, par exemple un abandon de l'enfant ou des manquements aux soins ou à la protection dus à celui-ci (voir ATF 125 IV 64 consid. 1a).</w:t>
      </w:r>
    </w:p>
    <w:p>
      <w:r>
        <w:t>L'infraction réprimée par l' 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 ATF 126 IV 136 consid. 1b et l'arrêt cité).</w:t>
      </w:r>
    </w:p>
    <w:p>
      <w:r>
        <w:t>En pratique, il sera souvent difficile de déterminer quand il y aura un risque pour le développement du mineur. Il sera en particulier délicat de distinguer les atteintes relevant de l' art. 219 CP des traumatismes qui font partie de la vie de tout enfant (MARIE DOLIVO-BONVIN, in Commentaire romand, Code pénal II, 2017, n° 12 ad art. 219 CP ). Vu l'imprécision de la disposition, la doctrine préconise de l'interpréter de manière restrictive et d'en limiter l'application aux cas manifestes (voir arrêt 6S.339/2003 du 12 novembre 2003 consid. 2.3; MARIE DOLIVO-BONVIN, op. cit., loc. cit.; MARTIN SCHUBARTH, Kommentar zum Schweizerischen Strafrecht, tome 4, 1997, n. 10 ad art. 219 CP ; ANDREAS ECKERT, Basler Kommentar, Strafrecht II, 4è éd. 2019, n. 10 ad art. 219 CP ).</w:t>
      </w:r>
    </w:p>
    <w:p>
      <w:r>
        <w:rPr>
          <w:b/>
        </w:rPr>
        <w:t>E. 1.3</w:t>
      </w:r>
    </w:p>
    <w:p>
      <w:r>
        <w:t>S'agissant de la mise en danger du développement psychique des enfants consécutif au comportement imputé à la recourante, la cour cantonale (consid. 3.5, p. 18 du jugement attaqué) a admis que celui-ci avait sérieusement porté atteinte au lien unissant les enfants et leur père, alors qu'ils entretenaient précédemment de bons rapports. Elle a par ailleurs relevé que C.________ et E.________ souffraient d'un trouble émotionnel, en partie dû au conflit parental; le premier rencontre des difficultés scolaires et le second présente une sensibilité particulière résultant d'un trouble constitutif ainsi que des problèmes neurobiologiques. Relevant qu'une mise en danger concrète est suffisante, la cour cantonale a admis qu'une preuve de l'existence d'un lien de causalité, même partiel entre les troubles en question et le comportement de la recourante n'était pas déterminante.</w:t>
      </w:r>
    </w:p>
    <w:p>
      <w:r>
        <w:t>La cour cantonale a considéré que compte tenu de la durée des actes, qui ont détérioré les rapports entre le père et les enfants sur le long terme, et de l'importance de ces rapports, tout particulièrement dans le contexte de séparation conflictuelle en cause, il était démontré que le comportement de la recourante avait concrètement mis en danger le développement des mineurs. Cette motivation n'apparaît toutefois pas suffisante.</w:t>
      </w:r>
    </w:p>
    <w:p>
      <w:r>
        <w:t>Si la cour cantonale mentionne que c'est la rupture des liens causée puis entretenue par la mère sur une période d'environ 2 ans qui a " indéniablement mis en danger leur développement psychique ", elle relève également que les enfants n'ont vu leur père qu'à de rares exceptions entre mai 2015 et le jugement attaqué, rendu en août 2020 (cf. arrêt attaqué, p. 18 consid. 3.5). Elle avait relevé précédemment que pour la période d'octobre 2016 à août 2018 il ne pouvait pas être reproché à la recourante d'avoir entravé les relations personnelles entre ses enfants et leur père puisque celui-ci était alors en fuite, placé en institution ou en détention (cf. arrêt attaqué, p. 17 consid. 3.3). Sur la base de ces constatations, il appert que la recourante a en effet fait obstacle aux relations entre ses enfants et leur père sur une période globale de l'ordre de deux ans répartie en deux blocs, le premier d'un an et quatre mois et le second de 8 mois entre lesquels se sont écoulés près de deux ans durant lesquels les enfants n'ont pas vu leur père mais sans que cette absence de contact soit imputable à la recourante. Or, s'il est de toute manière délicat d'affirmer sans autre explication que l'absence de contact entre les enfants et un des parents sur une certaine durée est en soi propre à compromettre le développement psychique de ceux-là, cette conclusion est encore plus délicate à tirer dans le cas d'espèce. En effet, il faudrait établir que la suspension des relations, pendant les deux périodes où elle est imputable à la recourante, était propre à elle seule à mettre en danger le développement psychique des enfants au sens de l' art. 219 CP . Telle qu'elle est motivée, la condamnation de la recourante pour violation du devoir d'assistance ou d'éducation au sens de l' art. 219 CP , disposition à interpréter de manière restrictive, viole le droit fédéral.</w:t>
      </w:r>
    </w:p>
    <w:p>
      <w:r>
        <w:t>Le recours doit être admis sur ce point et les griefs tirés de l'établissement arbitraire de faits en relation avec l'application de l' art. 219 CP deviennent sans objet.</w:t>
      </w:r>
    </w:p>
    <w:p>
      <w:r>
        <w:rPr>
          <w:b/>
        </w:rPr>
        <w:t>E. 2</w:t>
      </w:r>
    </w:p>
    <w:p>
      <w:r>
        <w:t>La recourante se plaint d'une violation de l' art. 292 CP .</w:t>
      </w:r>
    </w:p>
    <w:p>
      <w:r>
        <w:t>Selon cette disposition, est passible d'une amende celui qui ne se sera pas conformé à une décision à lui signifiée, sous la menace de la peine prévue audit article, par une autorité ou un fonctionnaire compétents.</w:t>
      </w:r>
    </w:p>
    <w:p>
      <w:r>
        <w:rPr>
          <w:b/>
        </w:rPr>
        <w:t>E. 2.1</w:t>
      </w:r>
    </w:p>
    <w:p>
      <w:r>
        <w:t>La cour cantonale a admis qu'en partant en G.________ avec les enfants le 24 décembre 2016 et en refusant à partir du 22 septembre 2018 que sa belle-soeur prenne ceux-ci en charge pour les emmener à la clinique afin qu'ils y voient leur père, la recourante n'a pas respecté les décisions du TPAE du 21 décembre 2016, respectivement du 4 septembre 2018, toutes deux rendues sous la menace de la peine prévue par l' art. 292 CP . Elle a noté, par ailleurs, que tout départ à l'étranger avec les enfants était interdit par une précédente décision du TPAE, datée du 15 septembre 2016 et également rendue sous la menace de la sanction de l' art. 292 CP .</w:t>
      </w:r>
    </w:p>
    <w:p>
      <w:r>
        <w:t>La cour cantonale a en outre constaté que l'ordonnance du 4 septembre 2018 prévoyait expressément que les enfants seraient pris en charge chez leur mère par leur tante paternelle, laquelle les y raccompagnerait après l'exercice du droit de visite.</w:t>
      </w:r>
    </w:p>
    <w:p>
      <w:r>
        <w:rPr>
          <w:b/>
        </w:rPr>
        <w:t>E. 2.2</w:t>
      </w:r>
    </w:p>
    <w:p>
      <w:r>
        <w:t>La recourante se prévaut d'une décision sur mesures superprovisionnelles rendue par le TPAE le 14 octobre 2016, qui ne confirmerait pas la décision du 15 septembre précédent, notamment s'agissant de l'interdiction de quitter la Suisse avec les enfants et l'obligation de déposer leurs papiers d'identité; elle fait valoir que la première aurait été remplacée par la seconde et qu'en quittant la Suisse le 24 décembre 2016, après la décision du 14 octobre 2016 et avant la notification, le 29 décembre 2016, de la décision du 21 décembre 2016, elle n'a violé aucune décision qui lui aurait été signifiée sous la menace de l' art. 292 CP .</w:t>
      </w:r>
    </w:p>
    <w:p>
      <w:r>
        <w:t>Il ressort des constations de la cour cantonale qu'une décision datée du 15 septembre 2016 avait fait interdiction à la recourante de partir à l'étranger avec les enfants et que celle-ci avait contrevenu à cette décision en quittant le territoire suisse en leur compagnie le 24 décembre 2016. La recourante soutient que cette décision aurait été remplacée par celle du 14 octobre 2016, qui ne confirme pas cette interdiction. Cette dernière décision concerne la suspension provisoire du droit de visite du père à la suite de l'hospitalisation de ce dernier et précise que les relations entre les enfants et leur père devront reprendre dès que possible, sans fixer aucune modalité, ce qui montre bien que celles de l'ordonnance du 15 septembre 2016 restaient applicables et donc que l'ordonnance en question demeurait valide dans la mesure où elle n'était pas expressément modifiée par celle du 14 octobre 2016. Comme cette dernière ne traite pas de l'interdiction d'emmener les enfants à l'étranger, ladite interdiction demeurait applicable. La recourante ne s'est au demeurant pas trompée à ce propos puisqu'elle a, en date du 14 novembre 2016, sollicité la levée de cette interdiction pour effectuer un voyage dans son pays d'origine pendant les fêtes de fin d'année.</w:t>
      </w:r>
    </w:p>
    <w:p>
      <w:r>
        <w:t>Etant admis et non contesté que l'interdiction avait été signifiée à la recourante sous la menace de la peine prévue par l' art. 292 CP par une autorité compétente, sa condamnation pour avoir quitté le territoire suisse en compagnie de ses enfants le 24 décembre 2016 ne viole pas le droit fédéral, étant précisé qu'elle ne saurait se prévaloir du fait que la décision consécutive à sa requête du 14 novembre 2016 ne lui est parvenue que le 29 décembre 2016, ce qui a eu pour seule conséquence que l'interdiction dont elle sollicitait la levée demeurait valide à tout le moins jusqu'à droit connu sur sa requête.</w:t>
      </w:r>
    </w:p>
    <w:p>
      <w:r>
        <w:rPr>
          <w:b/>
        </w:rPr>
        <w:t>E. 2.3</w:t>
      </w:r>
    </w:p>
    <w:p>
      <w:r>
        <w:t>S'agissant du refus de la recourante de laisser sa belle-soeur prendre seule les enfants en charge pour les conduire à la clinique auprès de leur père, la cour cantonale a constaté que l'ordonnance du 4 septembre 2018 prévoyait expressément que leur tante paternelle devait venir chercher les enfants et les raccompagner chez leur mère, de sorte que cette dernière ne s'était pas conformée à ladite ordonnance.</w:t>
      </w:r>
    </w:p>
    <w:p>
      <w:r>
        <w:t>Sous l'angle de l'arbitraire dans la constatation des faits, la recourante reproche à la cour cantonale de s'être méprise sur le contenu de l'ordonnance en question en considérant que la tante des enfants devait aller les chercher chez leur mère et les ramener, sans préciser à quel endroit. Or il ressort de l'arrêt attaqué (p. 16, ch. 2.3) que la cour cantonale a retenu que la tante devait venir chercher les enfants ainsi que les raccompagner chez leur mère. Cette interprétation est parfaitement compatible avec le texte de l'ordonnance, cité par la recourante elle-même, selon lequel la tante " ira chercher les mineurs le samedi en fin de matinée et les ramènera le samedi soir chez leur mère ".</w:t>
      </w:r>
    </w:p>
    <w:p>
      <w:r>
        <w:t>Le grief d'arbitraire est mal fondé et c'est sur la base des constatations de la cour cantonale que doit être examiné le grief de violation de l' art. 292 CP . Or il appert clairement qu'en exigeant d'accompagner les enfants jusqu'à la clinique ou en cherchant à imposer à sa belle-soeur une modification des modalités d'exercice du droit de visite, la recourante ne s'est pas conformée à la décision du 4 septembre 2016, qui lui avait été signifiée sous la menace des sanctions prévues à l' art. 292 CP , de sorte que sa condamnation à raison de cette disposition ne viole pas le droit fédéral. Peu importe par ailleurs que la cour cantonale n'ait pas mentionné la demande d'effet suspensif pour le recours formé au niveau cantonal par la recourante contre la décision du 4 septembre 2018, puisque celle-ci date du 1er octobre et est donc postérieure aux faits qui lui sont imputés.</w:t>
      </w:r>
    </w:p>
    <w:p>
      <w:r>
        <w:rPr>
          <w:b/>
        </w:rPr>
        <w:t>E. 3</w:t>
      </w:r>
    </w:p>
    <w:p>
      <w:r>
        <w:t>La recourante reproche à la cour cantonale d'avoir violé les art. 429 al. 1 let . c CPP et 49 CO en refusant de lui allouer une indemnité pour tort moral.</w:t>
      </w:r>
    </w:p>
    <w:p>
      <w:r>
        <w:rPr>
          <w:b/>
        </w:rPr>
        <w:t>E. 3.1</w:t>
      </w:r>
    </w:p>
    <w:p>
      <w:r>
        <w:t>Aux termes de l' art. 429 al. 1 let . c CPP, si le prévenu est acquitté totalement ou partiellement ou s'il bénéficie d'une ordonnance de classement, il a droit à la réparation du tort moral subi en raison d'une atteinte particulièrement grave à sa personnalité, notamment en cas de privation de liberté.</w:t>
      </w:r>
    </w:p>
    <w:p>
      <w:r>
        <w:t>Pour justifier un droit à l'indemnité visée par l' art. 429 al. 1 let . c CPP, l'intensité de l'atteinte à la personnalité doit être analogue à celle requise dans le contexte de l' art. 49 CO ( ATF 143 IV 339 consid. 3.1).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3.1).</w:t>
      </w:r>
    </w:p>
    <w:p>
      <w:r>
        <w:rPr>
          <w:b/>
        </w:rPr>
        <w:t>E. 3.2</w:t>
      </w:r>
    </w:p>
    <w:p>
      <w:r>
        <w:t>Cette question devra être examinée par la cour cantonale en fonction de sa décision relative à l'accusation de violation du devoir d'assistance ou d'éducation.</w:t>
      </w:r>
    </w:p>
    <w:p>
      <w:r>
        <w:t>Il y a néanmoins lieu de relever que la recourante, qui n'a pas subi de détention, se prévaut essentiellement de la durée de la procédure pénale dirigée à son encontre. Compte tenu du fait que près de trois ans se sont écoulés entre la première plainte déposée contre la recourante et les derniers actes dont elle a à répondre et que la durée de la procédure a été la conséquence de la complexité de celle-ci générée notamment par le manque de coopération de la recourante, on ne saurait considérer que la durée de l'ordre de 5 ans invoquée par la recourante excède les désagréments inhérents à la procédure au point d'avoir porté à sa personnalité une atteinte telle qu'elle justifie l'attribution d'une indemnité pour le tort moral subi. Par ailleurs, les convocations qui lui ont été adressées par les autorités de poursuite, de même que l'audition des médecins ou la prise de renseignements auprès des autorités scolaires, sont inhérents à l'administration de moyens de preuve adéquats et ne constituent pas non plus des atteintes propres à justifier une telle indemnité.</w:t>
      </w:r>
    </w:p>
    <w:p>
      <w:r>
        <w:rPr>
          <w:b/>
        </w:rPr>
        <w:t>E. 4</w:t>
      </w:r>
    </w:p>
    <w:p>
      <w:r>
        <w:t>Au vu de ce qui précède, le recours doit être partiellement admis, l'arrêt attaqué annulé et la cause renvoyée à l'autorité cantonale pour nouvelle décision. Le recours est rejeté pour le surplus.</w:t>
      </w:r>
    </w:p>
    <w:p>
      <w:r>
        <w:t>La recourante a requis l'assistance judiciaire. Elle peut prétendre à une indemnité de dépens réduite pour les griefs admis ( art. 68 al. 1 LTF ), ce qui rend sa demande d'assistance judiciaire sans objet dans cette mesure. Le recours était pour le surplus dénué de chances de succès, de sorte que l'assistance judiciaire doit être refusée ( art. 64 al. 1 LTF ). La recourante supportera des frais réduits eu égard à l'issue de la cause et à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