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6B_1220/2014 vom 22. Juni 2015</w:t>
      </w:r>
    </w:p>
    <w:p>
      <w:r>
        <w:t>Bundesgericht, 2015-06-22, FR</w:t>
      </w:r>
    </w:p>
    <w:p>
      <w:r>
        <w:rPr>
          <w:b/>
        </w:rPr>
        <w:t xml:space="preserve">Quelle: </w:t>
      </w:r>
      <w:r>
        <w:t>https://mcp.opencaselaw.ch/entscheid/bger_6B_1220_2014</w:t>
      </w:r>
    </w:p>
    <w:p>
      <w:r>
        <w:t>FR: TF 6B_1220/2014 du 22 juin 2015</w:t>
      </w:r>
    </w:p>
    <w:p>
      <w:r>
        <w:t>IT: TF 6B_1220/2014 del 22 giugno 2015</w:t>
      </w:r>
    </w:p>
    <w:p>
      <w:pPr>
        <w:pStyle w:val="Heading2"/>
      </w:pPr>
      <w:r>
        <w:t>Erwägungen</w:t>
      </w:r>
    </w:p>
    <w:p>
      <w:r>
        <w:rPr>
          <w:b/>
        </w:rPr>
        <w:t>E. 1.1</w:t>
      </w:r>
    </w:p>
    <w:p>
      <w:r>
        <w:t>Invoquant un abus de droit, le recourant se plaint d'une violation de l' art. 55a CP . Selon lui, la procédure ayant été suspendue en première instance, l'intimée a révoqué son accord sans motif. Il ne conteste pas que la déclaration de l'intimée est intervenue dans le délai de six mois prévu à l' art. 55a al. 2 CP . Il relève qu'elle a justifié sa révocation en raison de menaces survenues avant la suspension, qu'il n'y a pas eu de nouvelles menaces et que l'exercice du droit de visite sur sa fille se déroulait bien. Selon lui, la reprise de la procédure doit dépendre d'éléments nouveaux postérieurs à la suspension sous peine d'abus de droit.</w:t>
      </w:r>
    </w:p>
    <w:p>
      <w:r>
        <w:rPr>
          <w:b/>
        </w:rPr>
        <w:t>E. 1.2.1</w:t>
      </w:r>
    </w:p>
    <w:p>
      <w:r>
        <w:t>Selon l' art. 55a CP , en cas de lésions corporelles simples (art. 123 ch. 2 al. 3 à 5 CP), de voies de fait réitérées (art. 126 al. 2 let. b, b</w:t>
      </w:r>
    </w:p>
    <w:p>
      <w:r>
        <w:t>bis et c CP), de menace ( art. 180 al. 2 CP ) ou de contrainte ( art. 181 CP ), le ministère public et les tribunaux peuvent suspendre la procédure si la victime est notamment le conjoint de l'auteur (al. 1 let. a ch. 1) et si elle le requiert ou donne son accord à la proposition de suspension (al. 1 let. b). La procédure est reprise si la victime révoque son accord, par écrit ou par oral, dans les six mois qui suivent la suspension (al. 2). En l'absence de révocation de l'accord, le ministère public et les tribunaux ordonnent le classement de la procédure (al. 3).</w:t>
      </w:r>
    </w:p>
    <w:p>
      <w:r>
        <w:t>L' art. 55a CP a été adopté dans le cadre d'une initiative parlementaire (cf. FF 2003 p. 1750 ss, spéc. p. 1768). Cette disposition introduit une suspension provisoire de la procédure qui permet à la victime de revenir sur sa décision et de garantir ainsi que celle-ci soit prise en toute liberté. Pendant le délai de six mois prévu à l'al. 2, la victime peut en tout temps se déterminer pour la reprise de la procédure et ainsi reconsidérer sa position (cf. FF 2003 ibidem; cf. aussi DUPUIS ET AL., Code pénal, Petit commentaire, 2012, n° 14 ad art. 55a CP ; RIEDO/ALLEMANN in Basler Kommentar, Strafrecht I, 3</w:t>
      </w:r>
    </w:p>
    <w:p>
      <w:r>
        <w:t>e éd. 2014, n° 188 ad art. 55a CP ).</w:t>
      </w:r>
    </w:p>
    <w:p>
      <w:r>
        <w:rPr>
          <w:b/>
        </w:rPr>
        <w:t>E. 1.2.2</w:t>
      </w:r>
    </w:p>
    <w:p>
      <w:r>
        <w:t>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 ATF 125 IV 79 consid. 1b p. 81). Elle est désormais consacrée à l' art. 3 al. 2 let. b CPP , également applicable aux parties, nonobstant la teneur de cette disposition (cf. arrêt 6B_5/2013 du 19 février 2013 consid. 2.7).</w:t>
      </w:r>
    </w:p>
    <w:p>
      <w:r>
        <w:rPr>
          <w:b/>
        </w:rPr>
        <w:t>E. 1.3</w:t>
      </w:r>
    </w:p>
    <w:p>
      <w:r>
        <w:t>L'approche du recourant ne saurait être suivie. Il est vrai que les travaux parlementaires (FF 2003 ibidem) évoquent l'hypothèse où l'auteur aurait déçu les espérances de la victime. On ne saurait cependant en déduire une exigence quant à la révocation par la victime. Au contraire, lesdits travaux parlementaires, pas plus que le texte légal, ne lient la reprise de la procédure par la victime à un juste motif que celle-ci devrait invoquer ou à des critères particuliers. Selon le système légal adopté, la victime garde la faculté de revenir librement sur son accord de suspension durant une période de six mois. Elle peut, durant ce laps de temps, reconsidérer sa position. Contrairement à ce que suppose le recourant, un événement postérieur à la suspension n'est pas requis pour légitimer une reprise de la procédure. Les éléments invoqués par le recourant ne consacrent aucun abus de droit.</w:t>
      </w:r>
    </w:p>
    <w:p>
      <w:r>
        <w:rPr>
          <w:b/>
        </w:rPr>
        <w:t>E. 1.4</w:t>
      </w:r>
    </w:p>
    <w:p>
      <w:r>
        <w:t>Le recourant ne formule pour le surplus aucun autre grief à l'encontre de sa condamnation.</w:t>
      </w:r>
    </w:p>
    <w:p>
      <w:r>
        <w:rPr>
          <w:b/>
        </w:rPr>
        <w:t>E. 2</w:t>
      </w:r>
    </w:p>
    <w:p>
      <w:r>
        <w:t>Le recours doit être rejeté. Comme les conclusions étaient vouées à l'échec, l'assistance judiciaire ne peut être accordée ( art. 64 al. 1 LTF ). Le recourant devra donc supporter les frais, dont le montant sera toutefois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