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6B_1218/2019 vom 19. Dezember 2019</w:t>
      </w:r>
    </w:p>
    <w:p>
      <w:r>
        <w:t>Bundesgericht, 2019-12-19, FR</w:t>
      </w:r>
    </w:p>
    <w:p>
      <w:r>
        <w:rPr>
          <w:b/>
        </w:rPr>
        <w:t xml:space="preserve">Quelle: </w:t>
      </w:r>
      <w:r>
        <w:t>https://mcp.opencaselaw.ch/entscheid/bger_6B_1218_2019</w:t>
      </w:r>
    </w:p>
    <w:p>
      <w:r>
        <w:t>FR: TF 6B_1218/2019 du 19 décembre 2019</w:t>
      </w:r>
    </w:p>
    <w:p>
      <w:r>
        <w:t>IT: TF 6B_1218/2019 del 19 dicembre 2019</w:t>
      </w:r>
    </w:p>
    <w:p>
      <w:pPr>
        <w:pStyle w:val="Heading2"/>
      </w:pPr>
      <w:r>
        <w:t>Erwägungen</w:t>
      </w:r>
    </w:p>
    <w:p>
      <w:r>
        <w:rPr>
          <w:b/>
        </w:rPr>
        <w:t>E. 1</w:t>
      </w:r>
    </w:p>
    <w:p>
      <w:r>
        <w:t>Le recourant reproche à la cour cantonale d'avoir établi arbitrairement les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1.2</w:t>
      </w:r>
    </w:p>
    <w:p>
      <w:r>
        <w:t>Le recourant évoque des éléments - tels que son intégration en Suisse ou la force des liens avec ses enfants - qui ne relèvent pas du fait mais du droit. Il ne met par ailleurs en évidence aucune constatation de fait qui serait insoutenable, mais se borne à affirmer, de manière purement appellatoire, qu'il a tenté de s'intégrer en Suisse ou qu'il entretiendrait des relations régulières avec ses enfants. Ce faisant, le recourant ne présente aucun grief recevable.</w:t>
      </w:r>
    </w:p>
    <w:p>
      <w:r>
        <w:t>Il en va de même dans la mesure où le recourant se borne à relever que la cour cantonale a refusé d'auditionner les témoins qu'il proposait d'entendre, l'intéressé ne formulant aucun grief recevable - répondant aux exigences de motivation découlant des art. 42 al. 2 et 106 al. 2 LTF - en matière de violation du droit d'être entendu (cf. à cet égard ATF 143 V 71 consid. 4.1 p. 72) ou d'appréciation anticipée des preuves (cf. sur ce point ATF 144 II 427 consid. 3.1.3 p. 435 ou arrêt 6B_1074/2019 du 14 novembre 2019 consid. 2.1 s'agissant spécifiquement de l' art. 389 al. 3 CPP ).</w:t>
      </w:r>
    </w:p>
    <w:p>
      <w:r>
        <w:rPr>
          <w:b/>
        </w:rPr>
        <w:t>E. 2</w:t>
      </w:r>
    </w:p>
    <w:p>
      <w:r>
        <w:t>Le recourant fait grief à la cour cantonale d'avoir prononcé son expulsion du territoire suisse.</w:t>
      </w:r>
    </w:p>
    <w:p>
      <w:r>
        <w:rPr>
          <w:b/>
        </w:rPr>
        <w:t>E. 2.1</w:t>
      </w:r>
    </w:p>
    <w:p>
      <w:r>
        <w:t>Aux termes de l' art. 66a al. 1 let . d CP, le juge expulse de Suisse l'étranger qui est condamné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2.2</w:t>
      </w:r>
    </w:p>
    <w:p>
      <w:r>
        <w:t>En l'espèce, le recourant a commis des infractions (vol et violation de domicile) qui tombent sous le coup de l' art. 66a al. 1 let . d CP. Il remplit donc a priori les conditions d'une expulsion, sous la réserve d'une application de l' art. 66a al. 2 CP , voire également des normes de droit international.</w:t>
      </w:r>
    </w:p>
    <w:p>
      <w:r>
        <w:rPr>
          <w:b/>
        </w:rPr>
        <w:t>E. 2.3.1</w:t>
      </w:r>
    </w:p>
    <w:p>
      <w:r>
        <w:t>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selon les critères d'intégration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6B_1045/2019 du 18 octobre 2019 consid. 1.3.1).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6B_908/2019 du 5 novembre 2019 consid. 2.1; 6B_1045/2019 précité consid. 1.3.1; 6B_925/2019 du 16 octobre 2019 consid. 1.1).</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6B_2/2019 du 27 septembre 2019 consid. 7.2.1 non destiné à la publication).</w:t>
      </w:r>
    </w:p>
    <w:p>
      <w:r>
        <w:rPr>
          <w:b/>
        </w:rPr>
        <w:t>E. 2.3.2</w:t>
      </w:r>
    </w:p>
    <w:p>
      <w:r>
        <w:t>En l'espèce, il n'apparaît pas que le recourant pourrait se prévaloir d'un droit au respect de sa vie privée, au sens de l' art. 8 par. 1 CEDH , dès lors que l'intéressé ne présente pas des liens sociaux ou professionnels spécialement intenses avec la Suisse et que son intégration dans ce pays est inexistante. Le recourant n'a jamais séjourné ou travaillé légalement en Suisse et a passé plusieurs années en prison. Il ne met, pour le reste, en exergue aucun élément pouvant laisser penser qu'un quelconque cercle social, amical ou professionnel y aurait été créé et entretenu. De surcroît, le recourant, qui reste sans domicile, n'est revenu en Suisse qu'en 2018, après avoir séjourné près d'un an dans son pays d'origine puis avoir vécu à G.________.</w:t>
      </w:r>
    </w:p>
    <w:p>
      <w:r>
        <w:t>Le recourant se prévaut exclusivement de la présence en Suisse de ses deux fils. On peut tout d'abord relever que le recourant ne peut fonder un droit au respect de sa vie familiale sur la relation entretenue avec son fils B.________, puisque ce dernier est majeur (cf. à cet égard ATF 145 I 227 consid. 5.3 p. 233 et les références citées) et que l'intéressé ne prétend pas que le prénommé se trouverait dans un état de dépendance particulier par rapport à lui, en raison par exemple d'un handicap ou d'une maladie grave (cf. ATF 145 I 227 consid. 3.1 p. 230 s.; 140 I 77 consid. 5.2 p. 80 s.; cf. arrêt 6B_908/2019 précité consid. 2.1.1).</w:t>
      </w:r>
    </w:p>
    <w:p>
      <w:r>
        <w:t>S'agissant de l'enfant C.________, il ne ressort pas de l'arrêt attaqué que le recourant aurait disposé d'un droit de garde ou de visite à son égard, ni qu'il aurait jamais contribué à son entretien. Les contacts actuels avec cet enfant se font, selon l'arrêt attaqué, par téléphone. Partant, on ne saurait admettre que le recourant entretiendrait avec son fils C.________ une relation étroite et effective au sens de la jurisprudence (cf. ATF 144 II 1 consid. 6.1 p. 12; 139 I 330 consid. 2.1 p. 336 et les références citées).</w:t>
      </w:r>
    </w:p>
    <w:p>
      <w:r>
        <w:t>Enfin, la cour cantonale a relevé que le recourant avait été bien accueilli dans son pays d'origine lorsqu'il y avait été renvoyé en 2017, et qu'il avait même pu y maintenir des contacts avec son fils C.________. Ainsi, compte tenu de la mauvaise intégration du recourant en Suisse, de l'absence de relations professionnelles ou sociales dans ce pays et des liens - notamment familiaux - conservés avec l'Algérie, il n'apparaît pas que l'expulsion ordonnée pourrait placer l'intéressé dans une situation personnelle grave. La première condition cumulative permettant au juge de renoncer exceptionnellement à l'expulsion fait donc défaut. Partant, une application de l' art. 66a al. 2 CP ne pouvait entrer en ligne de compte.</w:t>
      </w:r>
    </w:p>
    <w:p>
      <w:r>
        <w:t>Le grief du recourant doit être rejeté.</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r>
        <w:t>La cause étant jugée, la demande d'effet suspensif n'a plus d'objet. Au demeurant, le recours en matière pénale interjeté contre un prononcé d'expulsion déploie</w:t>
      </w:r>
    </w:p>
    <w:p>
      <w:r>
        <w:t>de lege un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