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6B_1214/2021 vom 26. Oktober 2022</w:t>
      </w:r>
    </w:p>
    <w:p>
      <w:r>
        <w:t>Bundesgericht, 2022-10-26, FR</w:t>
      </w:r>
    </w:p>
    <w:p>
      <w:r>
        <w:rPr>
          <w:b/>
        </w:rPr>
        <w:t xml:space="preserve">Quelle: </w:t>
      </w:r>
      <w:r>
        <w:t>https://mcp.opencaselaw.ch/entscheid/bger_6B_1214_2021</w:t>
      </w:r>
    </w:p>
    <w:p>
      <w:r>
        <w:t>FR: TF 6B_1214/2021 du 26 octobre 2022</w:t>
      </w:r>
    </w:p>
    <w:p>
      <w:r>
        <w:t>IT: TF 6B_1214/2021 del 26 ottobre 2022</w:t>
      </w:r>
    </w:p>
    <w:p>
      <w:pPr>
        <w:pStyle w:val="Heading2"/>
      </w:pPr>
      <w:r>
        <w:t>Erwägungen</w:t>
      </w:r>
    </w:p>
    <w:p>
      <w:r>
        <w:rPr>
          <w:b/>
        </w:rPr>
        <w:t>E. 1</w:t>
      </w:r>
    </w:p>
    <w:p>
      <w:r>
        <w:t>La cour cantonale a spontanément produit, le 22 juillet 2022, divers documents en lien avec la situation personnelle actuelle de la recourante. Ces pièces, établies postérieurement au jugement attaqué, sont irrecevables dans le recours en matière pénale ( art. 99 al. 1 LTF ).</w:t>
      </w:r>
    </w:p>
    <w:p>
      <w:r>
        <w:rPr>
          <w:b/>
        </w:rPr>
        <w:t>E. 2</w:t>
      </w:r>
    </w:p>
    <w:p>
      <w:r>
        <w:t>La recourante critique la nature et la quotité de la peine qui lui a été infligée. Elle se prévaut en particulier d'un défaut de motivation.</w:t>
      </w:r>
    </w:p>
    <w:p>
      <w:r>
        <w:rPr>
          <w:b/>
        </w:rPr>
        <w:t>E. 2.1.1</w:t>
      </w:r>
    </w:p>
    <w:p>
      <w:r>
        <w:t>L'escroquerie par métier ( art. 146 al. 1 et 2 CP ) est sanctionnée d'une peine privative de liberté de dix ans au plus ou une peine pécuniaire de 90 jours-amende au moins.</w:t>
      </w:r>
    </w:p>
    <w:p>
      <w:r>
        <w:rPr>
          <w:b/>
        </w:rPr>
        <w:t>E. 2.1.2</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2.1.3</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144 IV 313 consid. 1.1.1 et les réf. citées).</w:t>
      </w:r>
    </w:p>
    <w:p>
      <w:r>
        <w:t>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 art. 50 CP ; ATF 144 IV 313 consid. 1.2; arrêt 6B_594/2019 du 4 juillet 2019 consid. 1.3.3).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(arrêts 6B_31/2021 du 7 avril 2022 consid. 2.4.2; 6B_892/2021 du 30 mars 2022 consid. 2.4; 6B_792/2021 du 14 février 2022 consid. 1.3.2; 6B_38/2021 du 14 février 2022 consid. 5.3.1).</w:t>
      </w:r>
    </w:p>
    <w:p>
      <w:r>
        <w:t>Conformément à l' art. 41 al. 2 CP , lorsque le juge choisit de prononcer à la place d'une peine pécuniaire une peine privative de liberté, il doit motiver le choix de cette dernière peine de manière circonstanciée.</w:t>
      </w:r>
    </w:p>
    <w:p>
      <w:r>
        <w:rPr>
          <w:b/>
        </w:rPr>
        <w:t>E. 2.1.4</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arrêts 6B_630/2021 du 2 juin 2022 consid. 2.1; 6B_434/2021 du 7 avril 2022 consid. 3.3).</w:t>
      </w:r>
    </w:p>
    <w:p>
      <w:r>
        <w:t>L'auteur ne doit pas être condamné plus sévèrement lorsque plusieurs infractions sont jugées en même temps que si ces infractions étaient jugées séparément ( ATF 144 IV 313 consid. 1.1.3; 144 IV 217 consid. 3.3.3).</w:t>
      </w:r>
    </w:p>
    <w:p>
      <w:r>
        <w:rPr>
          <w:b/>
        </w:rPr>
        <w:t>E. 2.1.5</w:t>
      </w:r>
    </w:p>
    <w:p>
      <w:r>
        <w:t>Lorsque des infractions ont été commises par métier à des époques distinctes sans qu'on puisse affirmer qu'elles procèdent toutes d'une décision unique, on doit admettre que les règles sur le concours réel ( art. 49 al. 1 CP ) s'appliquent à ces séries successives d'infractions ( ATF 116 IV 121 consid. 2b/aa; arrêts 6B_36/2019 du 2 juillet 2019 consid. 3.6.1; 6B_1366/2016 du 6 juin 2017 consid. 4.4.2; 6B_207/2013 du 10 septembre 2013 consid. 1.3.1; NIGGLI/RIEDO, in Basler Kommentar, Strafrecht, 4e éd., 2019, n° 114 ad art. 139 StGB; JÜRG-BEAT ACKERMANN, in Basler Kommentar, Strafrecht, 4e éd., 2019, n° 34 ad art. 49 StGB).</w:t>
      </w:r>
    </w:p>
    <w:p>
      <w:r>
        <w:t>A cet égard, il y a lieu de se référer aux notions d'unités juridique et naturelle d'actions, telles que développées par la jurisprudence (arrêt 6B_36/2019 du 2 juillet 2019 consid. 3.6.4 et les réf. citées). En particulier,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131 IV 83 consid. 2.4.5).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131 IV 83 consid. 2.4.5). La notion d'unité naturelle d'actions doit être interprétée restrictivement ( ATF 133 IV 256 consid. 4.5.3; arrêt 6B_261/2021 du 2 février 2022 consid. 2.1.3).</w:t>
      </w:r>
    </w:p>
    <w:p>
      <w:r>
        <w:rPr>
          <w:b/>
        </w:rPr>
        <w:t>E. 2.2.1</w:t>
      </w:r>
    </w:p>
    <w:p>
      <w:r>
        <w:t>L'autorité de première instance a jugé en l'espèce que la culpabilité de la recourante était lourde.</w:t>
      </w:r>
    </w:p>
    <w:p>
      <w:r>
        <w:t>Avec son compagnon de l'époque, la recourante s'était rendue coupable, en l'espace d'environ deux ans et demi, de plusieurs infractions contre le patrimoine au détriment, non seulement de l'Office des poursuites et des services publics d'aide sociale, mais également de quatre particuliers qui s'étaient ainsi retrouvés dans des situations délicates. Les faits qu'elle avait commis devaient à cet égard être considérés comme graves. La recourante avait en outre agi sans vergogne, ne manquant pas une occasion de se faire de l'argent facile, ceci par pur égoïsme, pour bénéficier d'un meilleur train de vie. Elle peinait manifestement à comprendre ses erreurs et à reconnaître ses torts, dès lors qu'elle n'avait présenté aucune excuse aux plaignants et n'était pas entrée en matière sur leur indemnisation. Ses antécédents devaient également être pris en considération en sa défaveur, étant spécifiquement relevé qu'elle avait déjà été condamnée pour escroquerie en 2017. Enfin, les infractions étaient en concours selon l' art. 49 al. 1 CP .</w:t>
      </w:r>
    </w:p>
    <w:p>
      <w:r>
        <w:t>A décharge, le tribunal correctionnel a tenu compte de la situation personnelle difficile dans laquelle la recourante se trouvait au moment des faits. Il fallait également prendre en considération sa collaboration dans les démarches de mise en vente des différents véhicules, sous la supervision du ministère public, qui avaient permis le séquestre de divers montants en lien avec les infractions commises.</w:t>
      </w:r>
    </w:p>
    <w:p>
      <w:r>
        <w:t>Au vu des ces éléments, l'autorité de première instance a tenu pour adéquat le prononcé d'une peine privative de liberté de 20 mois (cf. jugement du tribunal correctionnel, consid. 7.2 p. 74).</w:t>
      </w:r>
    </w:p>
    <w:p>
      <w:r>
        <w:rPr>
          <w:b/>
        </w:rPr>
        <w:t>E. 2.2.2</w:t>
      </w:r>
    </w:p>
    <w:p>
      <w:r>
        <w:t>La cour cantonale a, pour sa part, tenu compte de la libération, en appel, de la recourante du chef d'accusation de banqueroute frauduleuse et fraude dans la saisie ( art. 163 ch. 1 CP ). A cet égard, elle a réduit d'un mois la peine privative de liberté prononcée en première instance pour la ramener à 19 mois, précisant que l'abandon de cette infraction n'avait pas un impact significatif sur la peine au regard des autres infractions.</w:t>
      </w:r>
    </w:p>
    <w:p>
      <w:r>
        <w:t>Pour le surplus, la cour cantonale a indiqué se référer par adoption de motifs ( art. 82 al. 4 CPP ) à l'analyse complète opérée par l'autorité de première instance sur l'examen des conditions de l' art. 47 CP .</w:t>
      </w:r>
    </w:p>
    <w:p>
      <w:r>
        <w:rPr>
          <w:b/>
        </w:rPr>
        <w:t>E. 2.3</w:t>
      </w:r>
    </w:p>
    <w:p>
      <w:r>
        <w:t>Dans le jugement attaqué, on cherche en vain la moindre explication en lien avec le choix d'infliger une peine privative de liberté à la recourante, lors même qu'en appel, celle-ci avait contesté la peine et a été libérée d'un chef d'accusation. Dans la mesure où le jugement rendu en première instance ne consacre pas plus de développement à ce sujet, le renvoi de la cour cantonale à la motivation du tribunal correctionnel, en application de l' art. 82 al. 4 CPP , s'avère inopérant.</w:t>
      </w:r>
    </w:p>
    <w:p>
      <w:r>
        <w:t>Il est en outre déduit du jugement attaqué que la recourante a été condamnée pour escroquerie par métier à raison d'au moins deux complexes de faits distincts, à savoir, d'une part, celui en lien avec le commerce frauduleux de véhicules (cf. let. B.a.a</w:t>
      </w:r>
    </w:p>
    <w:p>
      <w:r>
        <w:t>supra ) et, d'autre part, celui concernant la perception indue de prestations sociales (cf. let. B.a.b</w:t>
      </w:r>
    </w:p>
    <w:p>
      <w:r>
        <w:t>supra ). Or, ces différents faits, qui ne procèdent à l'évidence pas d'une décision unique, ne s'inscrivent pas dans une unité juridique ou naturelle d'actions (cf. consid. 2.1.4</w:t>
      </w:r>
    </w:p>
    <w:p>
      <w:r>
        <w:t>supra ). Dans un tel contexte, il appartenait à la cour cantonale, à tout le moins, de préciser dans quelle mesure il a été fait application des règles sur le concours d'infractions selon l' art. 49 al. 1 CP , la motivation du jugement de première instance n'apportant au demeurant aucun éclaircissement sur ce point.</w:t>
      </w:r>
    </w:p>
    <w:p>
      <w:r>
        <w:t>Par ailleurs, compte tenu de l'acquittement partiel prononcé en appel s'agissant de l'accusation de banqueroute frauduleuse et de fraude dans la saisie ( art. 163 ch. 1 CP ), la cour cantonale ne pouvait en tout état pas se satisfaire, quant aux éléments d'appréciation à prendre en considération en application de l' art. 47 CP , d'un renvoi à la motivation de l'autorité de première instance selon l' art. 82 al. 4 CPP (cf. sur les possibilités de faire application de cette disposition: ATF 141 IV 244 consid. 1.2.3; arrêt 6B_1340/2016 du 29 décembre 2017 consid. 2.1). Pour le reste, à défaut d'explications sur le poids accordé aux actes d'escroquerie par métier commis par la recourante, qui ne peut être déduit du jugement de première instance, on ne voit pas sur quels éléments d'appréciation la cour cantonale s'est finalement fondée afin de considérer que ces actes justifiaient, à eux seuls, le prononcé d'une peine de privation de liberté de 19 mois.</w:t>
      </w:r>
    </w:p>
    <w:p>
      <w:r>
        <w:t>Au regard des considérations qui précèdent, il n'est pas possible d'examiner les (autres) griefs développés par la recourante et de contrôler à cet égard la bonne application du droit fédéral par la cour cantonale. Il en résulte que le recours doit être admis en raison d'une insuffisance de motivation, le jugement entrepris doit être annulé quant à la peine prononcée et la cause renvoyée à la cour cantonale pour nouvelle décision.</w:t>
      </w:r>
    </w:p>
    <w:p>
      <w:r>
        <w:rPr>
          <w:b/>
        </w:rPr>
        <w:t>E. 3</w:t>
      </w:r>
    </w:p>
    <w:p>
      <w:r>
        <w:t>Le recours doit être admis, le jugement attaqué annulé s'agissant de la peine et la cause renvoyée à l'autorité cantonale pour nouvelle décision sur ce point.</w:t>
      </w:r>
    </w:p>
    <w:p>
      <w:r>
        <w:t>La recourante, qui obtient gain de cause, ne supportera pas de frais. Le canton de Vaud n'a pas non plus à en supporter ( art. 66 al. 1 et 4 LTF ). La recourante a droit à des dépens à la charge du canton ( art. 68 al. 1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