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6B_1214/2020 vom 25. März 2021</w:t>
      </w:r>
    </w:p>
    <w:p>
      <w:r>
        <w:t>Bundesgericht, 2021-03-25, DE</w:t>
      </w:r>
    </w:p>
    <w:p>
      <w:r>
        <w:rPr>
          <w:b/>
        </w:rPr>
        <w:t xml:space="preserve">Quelle: </w:t>
      </w:r>
      <w:r>
        <w:t>https://mcp.opencaselaw.ch/entscheid/bger_6B_1214_2020</w:t>
      </w:r>
    </w:p>
    <w:p>
      <w:r>
        <w:t>FR: TF 6B_1214/2020 du 25 mars 2021</w:t>
      </w:r>
    </w:p>
    <w:p>
      <w:r>
        <w:t>IT: TF 6B_1214/2020 del 25 marzo 2021</w:t>
      </w:r>
    </w:p>
    <w:p>
      <w:pPr>
        <w:pStyle w:val="Heading2"/>
      </w:pPr>
      <w:r>
        <w:t>Erwägungen</w:t>
      </w:r>
    </w:p>
    <w:p>
      <w:r>
        <w:rPr>
          <w:b/>
        </w:rPr>
        <w:t>E. 1.1</w:t>
      </w:r>
    </w:p>
    <w:p>
      <w:r>
        <w:t>Die Beschwerdeführerin kritisiert die vorinstanzlichen Erwägungen zur Gültigkeit des Strafantrags. Sie macht geltend, der Strafantrag richte sich in personeller Hinsicht unmissverständlich und ausschliesslich gegen die Hausbesetzer. Aus dem Wortlaut des Strafantrags gehe keineswegs hervor, dass auch Medienschaffende vom gestellten Strafantrag erfasst sein sollen. Der Umstand, dass sich die Beschwerdegegnerin 2 im Zusammenhang mit der Besetzung der Liegenschaft selbst wiederholt an die Medien gewandt habe, zeige vielmehr, dass Medienschaffende vom Strafantrag gerade ausgenommen seien. Zudem rügt sie unter Hinweis auf BGE 128 IV 81 E. 2b, dass auch deshalb kein gültiger Strafantrag vorliege, weil sie die Liegenschaft in ihrer Funktion als Journalistin zum "Zwecke der Berichterstattung" (und damit eben gerade nicht als Teil der "Gruppe C.________") betreten habe.</w:t>
      </w:r>
    </w:p>
    <w:p>
      <w:r>
        <w:rPr>
          <w:b/>
        </w:rPr>
        <w:t>E. 1.2</w:t>
      </w:r>
    </w:p>
    <w:p>
      <w:r>
        <w:t>Die Vorinstanz erwägt zusammengefasst, grundsätzlich könne sich ein Strafantrag nur auf begangene Delikte beziehen, d.h. auf einen bestimmten deliktischen Sachverhalt, der sich bereits ereignet hat. Nach Eröffnung des Strafverfahrens seien die Straf (verfolgungs) behörden jedoch "in rem" und nicht "in persona" mit der Sache befasst. Bei Dauerdelikten wie dem Hausfriedensbruch gelte gemäss bundesgerichtlicher Rechtsprechung ein gegen unbekannte Täterschaft gestellter Strafantrag in Bezug auf sämtliche Personen, die - wenn auch nur für eine gewisse Zeit - am Delikt beteiligt gewesen seien, und dies solange, bis das Dauerdelikt beendet sei. Der Strafantrag umfasse demnach auch Personen, die sich erst nach dessen Stellung am Delikt beteiligen, weshalb sich der am 20. April 2016 vormittags eingereichte Strafantrag auch auf den der Beschwerdeführerin vorgeworfenen Sachverhalt am Abend desselben Tages erstrecke. Der personelle Aspekt des Strafantrags sei in Bezug auf die Beschwerdeführerin ebenfalls gegeben. Dieser erfasse dem Sinn und dem Wortlaut nach nicht nur Besetzerinnen und Besetzer oder Aktivistinnen und Aktivisten, sondern auch beliebige, das Grundstück zu welchem Zweck auch immer betretende Personen. Entgegen der Ansicht der Beschwerdeführerin liege keine Beschränkung des Strafantrags auf bestimmte Personen vor.</w:t>
      </w:r>
    </w:p>
    <w:p>
      <w:r>
        <w:rPr>
          <w:b/>
        </w:rPr>
        <w:t>E. 1.3</w:t>
      </w:r>
    </w:p>
    <w:p>
      <w:r>
        <w:t>Der Strafantrag gemäss Art. 30 StGB ist die bedingungslose Willenserklärung des Verletzten, es solle für einen bestimmten Sachverhalt Strafverfolgung stattfinden ( BGE 128 IV 81 E. 2a). Da eine Strafverfolgung immer nur für bereits begangene Handlungen/Lebenssachverhalte beantragt werden kann, ist ein gestellter Antrag allein in Bezug auf diese wirksam (Christof Riedo, in: Basler Kommentar, 4. Aufl., 2019, N. 100 zu Art. 30 StGB ). Eine vorsorgliche Antragstellung für allfällige spätere Straftaten ist unzulässig - der Strafantrag wirkt grundsätzlich nur für die Vergangenheit (vgl. BGE 126 IV 131 E. 2a; 121 IV 272 E. 2a; 118 IV 325 E. 2b). Nach der bundesgerichtlichen Rechtsprechung erstrecken sich jedoch bei einem Dauerdelikt wie dem Hausfriedensbruch nach Art. 186 StGB die Wirkungen des Strafantrags grundsätzlich auch auf angezeigtes Verhalten, das über den Strafantrag hinaus andauert. So werden alle Beteiligten vom Strafantrag miterfasst, die erst nach dessen Stellung am fortbestehenden Hausfriedensbruch teilnehmen ( BGE 128 IV 81 E. 2a: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Voraussetzung ist, dass den später hinzukommenden Personen das angezeigte (strafbare) Verhalten nach materiell-rechtlichen Beteiligungsformen zugerechnet werden kann. Erfasst sind an der Ausführung der Haupttat massgebend zusammenwirkende Mittäter (wenn auch zeitlich versetzt) oder aber an der Haupttat nachträglich akzessorisch teilnehmende Gehilfen hinsichtlich ein und derselben Hausbesetzung (nichts anderes ergibt sich aus der Formulierung "participant qui viendrait [...]</w:t>
      </w:r>
    </w:p>
    <w:p>
      <w:r>
        <w:t>prendre part au délit continu "), ist es doch dieses Dauerdelikt, das vom Strafantrag gedeckt ist (in diesem Sinne auch die Ausführungen bei Christof Riedo, Der Strafantrag, Diss. Fribourg 2004, S. 550: "Soweit also die Zusammensetzung der Täterschaft bei einem Dauerdelikt wechselt, muss der Strafantrag gestützt auf Art. 30 StGB zwingend auch das künftige deliktische Verhalten der neu hinzu gekommenen Tatbeteiligten erfassen"; auch dieser Autor spricht mithin von der gleichen Täter- bzw. Teilnehmerschaft bezüglich des nämlichen Deliktes, nicht aber von neuen [Neben-]Tätern mit eigenständigem Vorsatz).</w:t>
      </w:r>
    </w:p>
    <w:p>
      <w:r>
        <w:rPr>
          <w:b/>
        </w:rPr>
        <w:t>E. 1.4</w:t>
      </w:r>
    </w:p>
    <w:p>
      <w:r>
        <w:t>Im vorliegend zu beurteilenden Fall wurde die durch die "Gruppe C.________" initiierte und organisierte Hausbesetzung als Lebenssachverhalt zur Anzeige gebracht. Die Beschwerdeführerin hat sich jedoch an diesem Dauerdelikt nach materiell-rechtlichen Grundsätzen nicht beteiligt. Sie hat die fragliche Liegenschaft nicht mit dem Vorsatz betreten, an der Hausbesetzung der "Gruppe C.________" als Mittäterin massgeblich mitzuwirken oder als Gehilfin akzessorisch daran teilzunehmen. Wie die Vorinstanz verbindlich festhält, hat die Beschwerdeführerin "das fremde Grundstück und das darauf stehende Haus an der U.________strasse mit der Absicht [betreten], über die Besetzung durch die "Gruppe C.________" eine Reportage zu schreiben, was sie in der Folge auch tat". Selbst wenn sie ihrerseits durch das Betreten des Grundstücks und des Hauses einen Hausfriedensbruch begangen haben sollte, würde es sich um eine eigenständige (Neben-) Tat und nicht um eine strafrechtlich zurechenbare Beteiligung am Hausfriedensbruch der "Gruppe C.________" handeln (vgl. hierzu auch: Christof Riedo, Der Strafantrag, S. 550). Dass die Beschwerdeführerin neben dem Hausfriedensbruch in Form des Betretens gegen den Willen der Beschwerdegegnerin 2 die Besetzung durch die "Gruppe C.________" unterstützen oder hieran teilnehmen wollte, wird ihr im Übrigen auch in der Anklageschrift nicht vorgeworfen. Damit liegt ihr gegenüber jedoch in Bezug auf den ihr gemachten strafrechtlichen Vorwurf kein Strafantrag vor, da ihr ein allfällig strafbares Verhalten der Personen der "Gruppe C.________", zu dem sich der angefochtene Entscheid auch nicht (explizit) äussert, nicht zugerechnet werden kann. Ob, wie die Vorinstanz erwägt, neben dem im Strafantrag einzig als unbekannte Täterschaft bezeichneten Besetzerkollektiv sprachlich auch sämtliche Personen erfasst sind, die allenfalls den Tatbestand des Hausfriedensbruchs durch andere Tathandlungen als die Hausbesetzung erfüllt haben, kann somit offenbleiben.</w:t>
      </w:r>
    </w:p>
    <w:p>
      <w:r>
        <w:rPr>
          <w:b/>
        </w:rPr>
        <w:t>E. 1.5</w:t>
      </w:r>
    </w:p>
    <w:p>
      <w:r>
        <w:t>Die Beschwerde erweist sich mangels eines Strafantrags gegen die Beschwerdeführerin als begründet. Nicht behandelt werden muss demnach die Frage, ob die grundsätzlich auch strafbare Besetzung leerstehender Häuser vorliegend tatbeständsmässig ist, da die Beschwerdegegnerin 2 die zuvor am 13. April 2016 erstattete Strafanzeige "aufgrund alternativer Lösungsansätze" als nicht eingereicht bezeichnete und in der neuen Strafanzeige vom 20. April 2016 verlangte, dass die Liegenschaft bis zum 27. April 2016 geräumt und im ursprünglichen Zustand verlassen werde, wobei die entsprechende Vorgehensweise möglichst mit der Beschwerdegegnerin 2 bzw. deren Rechtsbeistand abzusprechen sei.</w:t>
      </w:r>
    </w:p>
    <w:p>
      <w:r>
        <w:rPr>
          <w:b/>
        </w:rPr>
        <w:t>E. 2</w:t>
      </w:r>
    </w:p>
    <w:p>
      <w:r>
        <w:t>Heisst das Bundesgericht die Beschwerde gut, so entscheidet es in der Sache selbst oder weist diese zu neuer Beurteilung an die Vorinstanz zurück ( Art. 107 Abs. 2 Satz 1 BGG ). Im vorliegenden Fall erweist sich die Angelegenheit als spruchreif. Das Vorliegen eines Strafantrages ist bei Antragsdelikten wie dem vorliegend zur Anklage gebrachten Hausfriedensbruch eine Prozessvoraussetzung. Bei Fehlen eines gültigen Strafantrags fällt die Führung eines Strafverfahrens ausser Betracht ( BGE 145 IV 190 E. 1.5.2; 129 IV 305 E. 4.2.3; je mit Hinweisen). Ist die Strafverfolgung - wie hier - bereits eröffnet worden, fehlt es aber an einem gültigen Strafantrag, ist das Verfahren in Anwendung von Art. 329 Abs. 4 StPO i.V.m. Art. 379 StPO einzustellen, weil ein Urteil definitiv nicht mehr ergehen kann (Urteile 6B_252/2020 vom 8. September 2020 E. 4.3; 6B_284/2013 vom 10. Oktober 2013 E. 2.4). Es kann daher ein reformatorischer Entscheid ergehen. Eine Rückweisung an die Vorinstanz zur neuen Beurteilung erfolgt nur noch im Hinblick auf die Neuregelung der Kosten- und Entschädigungsfolgen.</w:t>
      </w:r>
    </w:p>
    <w:p>
      <w:r>
        <w:t>Bei diesem Ausgang des Verfahrens sind die bundesgerichtlichen Verfahrenskosten der mit ihrem Antrag unterliegenden Beschwerdegegnerin 2 aufzuerlegen ( Art. 66 Abs. 1 BGG ). Der Kanton Luzern trägt hingegen keine Verfahrenskosten ( Art. 66 Abs. 4 BGG ), hat jedoch der Beschwerdeführerin gemeinsam mit der Beschwerdegegnerin 2 zu gleichen Teilen und unter solidarischer Haftung für das bundesgerichtliche Verfahren eine angemessene Parteientschädigung auszurichten ( Art. 68 Abs.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